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2240"/>
        <w:tblBorders>
          <w:top w:val="single" w:color="auto" w:sz="4"/>
          <w:left w:val="single" w:color="auto" w:sz="4"/>
          <w:bottom w:val="single" w:color="auto" w:sz="4"/>
          <w:right w:val="single" w:color="auto" w:sz="4"/>
          <w:insideH w:val="single" w:color="auto" w:sz="4"/>
          <w:insideV w:val="single" w:color="auto" w:sz="4"/>
        </w:tblBorders>
      </w:tblPr>
      <w:tblGrid>
        <w:gridCol w:w="12240"/>
      </w:tblGrid>
      <w:tr>
        <w:trPr>
          <w:trHeight w:val="15840" w:hRule="exact"/>
        </w:trPr>
        <w:tc>
          <w:tcPr>
            <w:tcW w:type="dxa" w:w="12240"/>
            <w:tcBorders>
              <w:top w:val="none" w:color="FFFFFF" w:sz="0"/>
              <w:left w:val="none" w:color="FFFFFF" w:sz="0"/>
              <w:bottom w:val="none" w:color="FFFFFF" w:sz="0"/>
              <w:right w:val="none" w:color="FFFFFF" w:sz="0"/>
            </w:tcBorders>
            <w:shd w:fill="03286C" w:color="auto" w:val="clear"/>
            <w:tcMar>
              <w:top w:type="dxa" w:w="0"/>
              <w:left w:type="dxa" w:w="0"/>
              <w:bottom w:type="dxa" w:w="0"/>
              <w:right w:type="dxa" w:w="0"/>
            </w:tcMar>
            <w:vAlign w:val="top"/>
          </w:tcPr>
          <w:p>
            <w:r>
              <w:rPr>
                <w:sz w:val="2"/>
                <w:szCs w:val="2"/>
              </w:rPr>
              <w:t xml:space="preserve"/>
            </w:r>
          </w:p>
          <w:p>
            <w:r>
              <w:rPr>
                <w:sz w:val="2"/>
                <w:szCs w:val="2"/>
              </w:rPr>
              <w:t xml:space="preserve"/>
            </w:r>
          </w:p>
          <w:p>
            <w:r>
              <w:rPr>
                <w:sz w:val="2"/>
                <w:szCs w:val="2"/>
              </w:rPr>
              <w:t xml:space="preserve"/>
            </w:r>
          </w:p>
          <w:tbl>
            <w:tblPr>
              <w:tblW w:type="dxa" w:w="4020"/>
              <w:jc w:val="center"/>
              <w:tblBorders>
                <w:top w:val="single" w:color="auto" w:sz="4"/>
                <w:left w:val="single" w:color="auto" w:sz="4"/>
                <w:bottom w:val="single" w:color="auto" w:sz="4"/>
                <w:right w:val="single" w:color="auto" w:sz="4"/>
                <w:insideH w:val="single" w:color="auto" w:sz="4"/>
                <w:insideV w:val="single" w:color="auto" w:sz="4"/>
              </w:tblBorders>
            </w:tblPr>
            <w:tblGrid>
              <w:gridCol w:w="620"/>
              <w:gridCol w:w="3400"/>
            </w:tblGrid>
            <w:tr>
              <w:tc>
                <w:tcPr>
                  <w:tcW w:type="dxa" w:w="620"/>
                  <w:tcBorders>
                    <w:top w:val="none" w:color="FFFFFF" w:sz="0"/>
                    <w:left w:val="none" w:color="FFFFFF" w:sz="0"/>
                    <w:bottom w:val="none" w:color="FFFFFF" w:sz="0"/>
                    <w:right w:val="none" w:color="FFFFFF" w:sz="0"/>
                  </w:tcBorders>
                  <w:shd w:fill="FFFFFF" w:color="auto" w:val="clear"/>
                  <w:tcMar>
                    <w:top w:type="dxa" w:w="60"/>
                    <w:left w:type="dxa" w:w="0"/>
                    <w:bottom w:type="dxa" w:w="60"/>
                    <w:right w:type="dxa" w:w="0"/>
                  </w:tcMar>
                  <w:vAlign w:val="center"/>
                </w:tcPr>
                <w:p>
                  <w:pPr>
                    <w:spacing w:after="0" w:before="0"/>
                    <w:jc w:val="center"/>
                  </w:pPr>
                  <w:r>
                    <w:rPr>
                      <w:rFonts w:ascii="Cambria" w:cs="Cambria" w:eastAsia="Cambria" w:hAnsi="Cambria"/>
                      <w:b/>
                      <w:bCs/>
                      <w:color w:val="03286C"/>
                      <w:sz w:val="22"/>
                      <w:szCs w:val="22"/>
                    </w:rPr>
                    <w:t xml:space="preserve">TA</w:t>
                  </w:r>
                </w:p>
              </w:tc>
              <w:tc>
                <w:tcPr>
                  <w:tcW w:type="dxa" w:w="3400"/>
                  <w:tcBorders>
                    <w:top w:val="none" w:color="FFFFFF" w:sz="0"/>
                    <w:left w:val="none" w:color="FFFFFF" w:sz="0"/>
                    <w:bottom w:val="none" w:color="FFFFFF" w:sz="0"/>
                    <w:right w:val="none" w:color="FFFFFF" w:sz="0"/>
                  </w:tcBorders>
                  <w:tcMar>
                    <w:top w:type="dxa" w:w="0"/>
                    <w:left w:type="dxa" w:w="160"/>
                    <w:bottom w:type="dxa" w:w="0"/>
                    <w:right w:type="dxa" w:w="0"/>
                  </w:tcMar>
                  <w:vAlign w:val="center"/>
                </w:tcPr>
                <w:p>
                  <w:pPr>
                    <w:spacing w:after="0"/>
                  </w:pPr>
                  <w:r>
                    <w:rPr>
                      <w:rFonts w:ascii="Cambria" w:cs="Cambria" w:eastAsia="Cambria" w:hAnsi="Cambria"/>
                      <w:b/>
                      <w:bCs/>
                      <w:color w:val="FFFFFF"/>
                      <w:spacing w:val="12"/>
                      <w:sz w:val="20"/>
                      <w:szCs w:val="20"/>
                    </w:rPr>
                    <w:t xml:space="preserve">TRADELAW ADVISORS</w:t>
                  </w:r>
                </w:p>
                <w:p>
                  <w:pPr>
                    <w:spacing w:after="0"/>
                  </w:pPr>
                  <w:r>
                    <w:rPr>
                      <w:rFonts w:ascii="Calibri" w:cs="Calibri" w:eastAsia="Calibri" w:hAnsi="Calibri"/>
                      <w:i/>
                      <w:iCs/>
                      <w:color w:val="FFFFFF"/>
                      <w:sz w:val="16"/>
                      <w:szCs w:val="16"/>
                    </w:rPr>
                    <w:t xml:space="preserve">by </w:t>
                  </w:r>
                  <w:r>
                    <w:rPr>
                      <w:rFonts w:ascii="Cambria" w:cs="Cambria" w:eastAsia="Cambria" w:hAnsi="Cambria"/>
                      <w:b/>
                      <w:bCs/>
                      <w:color w:val="FFFFFF"/>
                      <w:sz w:val="16"/>
                      <w:szCs w:val="16"/>
                    </w:rPr>
                    <w:t xml:space="preserve">FAS</w:t>
                  </w:r>
                </w:p>
              </w:tc>
            </w:tr>
          </w:tbl>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pPr>
              <w:spacing w:after="260"/>
              <w:jc w:val="center"/>
            </w:pPr>
            <w:r>
              <w:rPr>
                <w:rFonts w:ascii="Calibri" w:cs="Calibri" w:eastAsia="Calibri" w:hAnsi="Calibri"/>
                <w:b/>
                <w:bCs/>
                <w:color w:val="0D78D8"/>
                <w:spacing w:val="30"/>
                <w:sz w:val="18"/>
                <w:szCs w:val="18"/>
              </w:rPr>
              <w:t xml:space="preserve">DOCUMENTO DE TRABAJO EJECUTIVO</w:t>
            </w:r>
          </w:p>
          <w:p>
            <w:pPr>
              <w:spacing w:after="40"/>
              <w:jc w:val="center"/>
            </w:pPr>
            <w:r>
              <w:rPr>
                <w:rFonts w:ascii="Cambria" w:cs="Cambria" w:eastAsia="Cambria" w:hAnsi="Cambria"/>
                <w:b/>
                <w:bCs/>
                <w:color w:val="FFFFFF"/>
                <w:sz w:val="52"/>
                <w:szCs w:val="52"/>
              </w:rPr>
              <w:t xml:space="preserve">MATRIZ BÁSICA DE REVISIÓN DE</w:t>
            </w:r>
          </w:p>
          <w:p>
            <w:pPr>
              <w:spacing w:after="40"/>
              <w:jc w:val="center"/>
            </w:pPr>
            <w:r>
              <w:rPr>
                <w:rFonts w:ascii="Cambria" w:cs="Cambria" w:eastAsia="Cambria" w:hAnsi="Cambria"/>
                <w:b/>
                <w:bCs/>
                <w:color w:val="FFFFFF"/>
                <w:sz w:val="52"/>
                <w:szCs w:val="52"/>
              </w:rPr>
              <w:t xml:space="preserve">OPERACIONES VIRTUALES</w:t>
            </w:r>
          </w:p>
          <w:p>
            <w:pPr>
              <w:spacing w:after="300"/>
              <w:jc w:val="center"/>
            </w:pPr>
            <w:r>
              <w:rPr>
                <w:rFonts w:ascii="Cambria" w:cs="Cambria" w:eastAsia="Cambria" w:hAnsi="Cambria"/>
                <w:b/>
                <w:bCs/>
                <w:color w:val="0D78D8"/>
                <w:sz w:val="52"/>
                <w:szCs w:val="52"/>
              </w:rPr>
              <w:t xml:space="preserve">V1</w:t>
            </w:r>
          </w:p>
          <w:tbl>
            <w:tblPr>
              <w:tblW w:type="dxa" w:w="1500"/>
              <w:jc w:val="center"/>
              <w:tblBorders>
                <w:top w:val="single" w:color="auto" w:sz="4"/>
                <w:left w:val="single" w:color="auto" w:sz="4"/>
                <w:bottom w:val="single" w:color="auto" w:sz="4"/>
                <w:right w:val="single" w:color="auto" w:sz="4"/>
                <w:insideH w:val="single" w:color="auto" w:sz="4"/>
                <w:insideV w:val="single" w:color="auto" w:sz="4"/>
              </w:tblBorders>
            </w:tblPr>
            <w:tblGrid>
              <w:gridCol w:w="1500"/>
            </w:tblGrid>
            <w:tr>
              <w:trPr>
                <w:trHeight w:val="30" w:hRule="exact"/>
              </w:trPr>
              <w:tc>
                <w:tcPr>
                  <w:tcW w:type="dxa" w:w="1500"/>
                  <w:tcBorders>
                    <w:top w:val="none" w:color="FFFFFF" w:sz="0"/>
                    <w:left w:val="none" w:color="FFFFFF" w:sz="0"/>
                    <w:bottom w:val="none" w:color="FFFFFF" w:sz="0"/>
                    <w:right w:val="none" w:color="FFFFFF" w:sz="0"/>
                  </w:tcBorders>
                  <w:shd w:fill="0D78D8" w:color="auto" w:val="clear"/>
                </w:tcPr>
                <w:p>
                  <w:r>
                    <w:rPr>
                      <w:sz w:val="2"/>
                      <w:szCs w:val="2"/>
                    </w:rPr>
                    <w:t xml:space="preserve"/>
                  </w:r>
                </w:p>
              </w:tc>
            </w:tr>
          </w:tbl>
          <w:p>
            <w:r>
              <w:rPr>
                <w:sz w:val="2"/>
                <w:szCs w:val="2"/>
              </w:rPr>
              <w:t xml:space="preserve"/>
            </w:r>
          </w:p>
          <w:p>
            <w:r>
              <w:rPr>
                <w:sz w:val="2"/>
                <w:szCs w:val="2"/>
              </w:rPr>
              <w:t xml:space="preserve"/>
            </w:r>
          </w:p>
          <w:p>
            <w:pPr>
              <w:spacing w:after="40"/>
              <w:jc w:val="center"/>
            </w:pPr>
            <w:r>
              <w:rPr>
                <w:rFonts w:ascii="Calibri" w:cs="Calibri" w:eastAsia="Calibri" w:hAnsi="Calibri"/>
                <w:color w:val="FFFFFF"/>
                <w:sz w:val="24"/>
                <w:szCs w:val="24"/>
              </w:rPr>
              <w:t xml:space="preserve">Evaluación ejecutiva de razón de negocios, beneficio económico,</w:t>
            </w:r>
          </w:p>
          <w:p>
            <w:pPr>
              <w:spacing w:after="0"/>
              <w:jc w:val="center"/>
            </w:pPr>
            <w:r>
              <w:rPr>
                <w:rFonts w:ascii="Calibri" w:cs="Calibri" w:eastAsia="Calibri" w:hAnsi="Calibri"/>
                <w:color w:val="FFFFFF"/>
                <w:sz w:val="24"/>
                <w:szCs w:val="24"/>
              </w:rPr>
              <w:t xml:space="preserve">beneficio fiscal y sustancia económica en operaciones virtuales</w:t>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p>
            <w:r>
              <w:rPr>
                <w:sz w:val="2"/>
                <w:szCs w:val="2"/>
              </w:rPr>
              <w:t xml:space="preserve"/>
            </w:r>
          </w:p>
          <w:tbl>
            <w:tblPr>
              <w:tblW w:type="dxa" w:w="1800"/>
              <w:jc w:val="center"/>
              <w:tblBorders>
                <w:top w:val="single" w:color="auto" w:sz="4"/>
                <w:left w:val="single" w:color="auto" w:sz="4"/>
                <w:bottom w:val="single" w:color="auto" w:sz="4"/>
                <w:right w:val="single" w:color="auto" w:sz="4"/>
                <w:insideH w:val="single" w:color="auto" w:sz="4"/>
                <w:insideV w:val="single" w:color="auto" w:sz="4"/>
              </w:tblBorders>
            </w:tblPr>
            <w:tblGrid>
              <w:gridCol w:w="500"/>
              <w:gridCol w:w="160"/>
              <w:gridCol w:w="500"/>
              <w:gridCol w:w="160"/>
              <w:gridCol w:w="500"/>
            </w:tblGrid>
            <w:tr>
              <w:trPr>
                <w:trHeight w:val="320" w:hRule="exact"/>
              </w:trPr>
              <w:tc>
                <w:tcPr>
                  <w:tcW w:type="dxa" w:w="50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tcPr>
                <w:p>
                  <w:r>
                    <w:rPr>
                      <w:sz w:val="2"/>
                      <w:szCs w:val="2"/>
                    </w:rPr>
                    <w:t xml:space="preserve"/>
                  </w:r>
                </w:p>
              </w:tc>
              <w:tc>
                <w:tcPr>
                  <w:tcW w:type="dxa" w:w="160"/>
                  <w:tcBorders>
                    <w:top w:val="none" w:color="FFFFFF" w:sz="0"/>
                    <w:left w:val="none" w:color="FFFFFF" w:sz="0"/>
                    <w:bottom w:val="none" w:color="FFFFFF" w:sz="0"/>
                    <w:right w:val="none" w:color="FFFFFF" w:sz="0"/>
                  </w:tcBorders>
                </w:tcPr>
                <w:p>
                  <w:r>
                    <w:rPr>
                      <w:sz w:val="2"/>
                      <w:szCs w:val="2"/>
                    </w:rPr>
                    <w:t xml:space="preserve"/>
                  </w:r>
                </w:p>
              </w:tc>
              <w:tc>
                <w:tcPr>
                  <w:tcW w:type="dxa" w:w="500"/>
                  <w:tcBorders>
                    <w:top w:val="none" w:color="FFFFFF" w:sz="0"/>
                    <w:left w:val="none" w:color="FFFFFF" w:sz="0"/>
                    <w:bottom w:val="none" w:color="FFFFFF" w:sz="0"/>
                    <w:right w:val="none" w:color="FFFFFF" w:sz="0"/>
                  </w:tcBorders>
                  <w:shd w:fill="0D78D8" w:color="auto" w:val="clear"/>
                  <w:tcMar>
                    <w:top w:type="dxa" w:w="0"/>
                    <w:left w:type="dxa" w:w="0"/>
                    <w:bottom w:type="dxa" w:w="0"/>
                    <w:right w:type="dxa" w:w="0"/>
                  </w:tcMar>
                </w:tcPr>
                <w:p>
                  <w:r>
                    <w:rPr>
                      <w:sz w:val="2"/>
                      <w:szCs w:val="2"/>
                    </w:rPr>
                    <w:t xml:space="preserve"/>
                  </w:r>
                </w:p>
              </w:tc>
              <w:tc>
                <w:tcPr>
                  <w:tcW w:type="dxa" w:w="160"/>
                  <w:tcBorders>
                    <w:top w:val="none" w:color="FFFFFF" w:sz="0"/>
                    <w:left w:val="none" w:color="FFFFFF" w:sz="0"/>
                    <w:bottom w:val="none" w:color="FFFFFF" w:sz="0"/>
                    <w:right w:val="none" w:color="FFFFFF" w:sz="0"/>
                  </w:tcBorders>
                </w:tcPr>
                <w:p>
                  <w:r>
                    <w:rPr>
                      <w:sz w:val="2"/>
                      <w:szCs w:val="2"/>
                    </w:rPr>
                    <w:t xml:space="preserve"/>
                  </w:r>
                </w:p>
              </w:tc>
              <w:tc>
                <w:tcPr>
                  <w:tcW w:type="dxa" w:w="500"/>
                  <w:tcBorders>
                    <w:top w:val="single" w:color="FFFFFF" w:sz="6"/>
                    <w:left w:val="single" w:color="FFFFFF" w:sz="6"/>
                    <w:bottom w:val="single" w:color="FFFFFF" w:sz="6"/>
                    <w:right w:val="single" w:color="FFFFFF" w:sz="6"/>
                  </w:tcBorders>
                  <w:shd w:fill="021A47" w:color="auto" w:val="clear"/>
                  <w:tcMar>
                    <w:top w:type="dxa" w:w="0"/>
                    <w:left w:type="dxa" w:w="0"/>
                    <w:bottom w:type="dxa" w:w="0"/>
                    <w:right w:type="dxa" w:w="0"/>
                  </w:tcMar>
                </w:tcPr>
                <w:p>
                  <w:r>
                    <w:rPr>
                      <w:sz w:val="2"/>
                      <w:szCs w:val="2"/>
                    </w:rPr>
                    <w:t xml:space="preserve"/>
                  </w:r>
                </w:p>
              </w:tc>
            </w:tr>
          </w:tbl>
          <w:p>
            <w:r>
              <w:rPr>
                <w:sz w:val="2"/>
                <w:szCs w:val="2"/>
              </w:rPr>
              <w:t xml:space="preserve"/>
            </w:r>
          </w:p>
          <w:p>
            <w:r>
              <w:rPr>
                <w:sz w:val="2"/>
                <w:szCs w:val="2"/>
              </w:rPr>
              <w:t xml:space="preserve"/>
            </w:r>
          </w:p>
          <w:p>
            <w:r>
              <w:rPr>
                <w:sz w:val="2"/>
                <w:szCs w:val="2"/>
              </w:rPr>
              <w:t xml:space="preserve"/>
            </w:r>
          </w:p>
          <w:p>
            <w:pPr>
              <w:spacing w:after="60"/>
              <w:jc w:val="center"/>
            </w:pPr>
            <w:r>
              <w:rPr>
                <w:rFonts w:ascii="Calibri" w:cs="Calibri" w:eastAsia="Calibri" w:hAnsi="Calibri"/>
                <w:color w:val="FFFFFF"/>
                <w:sz w:val="18"/>
                <w:szCs w:val="18"/>
              </w:rPr>
              <w:t xml:space="preserve">Puebla, México  ·  Septiembre de 2026</w:t>
            </w:r>
          </w:p>
          <w:p>
            <w:pPr>
              <w:spacing w:after="0"/>
              <w:jc w:val="center"/>
            </w:pPr>
            <w:r>
              <w:rPr>
                <w:rFonts w:ascii="Calibri" w:cs="Calibri" w:eastAsia="Calibri" w:hAnsi="Calibri"/>
                <w:b/>
                <w:bCs/>
                <w:color w:val="0D78D8"/>
                <w:sz w:val="18"/>
                <w:szCs w:val="18"/>
              </w:rPr>
              <w:t xml:space="preserve">www.tradelawadvisor.mx</w:t>
            </w:r>
          </w:p>
        </w:tc>
      </w:tr>
    </w:tbl>
    <w:p>
      <w:pPr>
        <w:sectPr>
          <w:pgSz w:w="12240" w:h="15840" w:orient="portrait"/>
          <w:pgMar w:top="0" w:right="0" w:bottom="0" w:left="0" w:header="708" w:footer="708" w:gutter="0"/>
          <w:pgNumType/>
          <w:docGrid w:linePitch="360"/>
        </w:sectPr>
      </w:pPr>
    </w:p>
    <w:p>
      <w:pPr>
        <w:pBdr>
          <w:bottom w:val="single" w:color="0D78D8" w:sz="10" w:space="6"/>
        </w:pBdr>
        <w:spacing w:after="160" w:before="380"/>
      </w:pPr>
      <w:r>
        <w:rPr>
          <w:rFonts w:ascii="Cambria" w:cs="Cambria" w:eastAsia="Cambria" w:hAnsi="Cambria"/>
          <w:b/>
          <w:bCs/>
          <w:color w:val="0D78D8"/>
          <w:sz w:val="30"/>
          <w:szCs w:val="30"/>
        </w:rPr>
        <w:t xml:space="preserve"/>
      </w:r>
      <w:r>
        <w:rPr>
          <w:rFonts w:ascii="Cambria" w:cs="Cambria" w:eastAsia="Cambria" w:hAnsi="Cambria"/>
          <w:b/>
          <w:bCs/>
          <w:color w:val="03286C"/>
          <w:sz w:val="30"/>
          <w:szCs w:val="30"/>
        </w:rPr>
        <w:t xml:space="preserve">Contenido del documento</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20"/>
        <w:gridCol w:w="8730"/>
      </w:tblGrid>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1</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Objetivo y alcance del documento</w:t>
            </w:r>
          </w:p>
          <w:p>
            <w:r>
              <w:rPr>
                <w:rFonts w:ascii="Calibri" w:cs="Calibri" w:eastAsia="Calibri" w:hAnsi="Calibri"/>
                <w:i/>
                <w:iCs/>
                <w:color w:val="5B6472"/>
                <w:sz w:val="18"/>
                <w:szCs w:val="18"/>
              </w:rPr>
              <w:t xml:space="preserve">Propósito de la matriz y marco normativo de referencia</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2</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Semáforo de evaluación</w:t>
            </w:r>
          </w:p>
          <w:p>
            <w:r>
              <w:rPr>
                <w:rFonts w:ascii="Calibri" w:cs="Calibri" w:eastAsia="Calibri" w:hAnsi="Calibri"/>
                <w:i/>
                <w:iCs/>
                <w:color w:val="5B6472"/>
                <w:sz w:val="18"/>
                <w:szCs w:val="18"/>
              </w:rPr>
              <w:t xml:space="preserve">Criterios de calificación aplicables a cada pregunta</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3</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Matriz ejecutiva de dieciocho preguntas</w:t>
            </w:r>
          </w:p>
          <w:p>
            <w:r>
              <w:rPr>
                <w:rFonts w:ascii="Calibri" w:cs="Calibri" w:eastAsia="Calibri" w:hAnsi="Calibri"/>
                <w:i/>
                <w:iCs/>
                <w:color w:val="5B6472"/>
                <w:sz w:val="18"/>
                <w:szCs w:val="18"/>
              </w:rPr>
              <w:t xml:space="preserve">Instrumento de revisión aduanera, fiscal, contractual y operativa</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4</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Cómo interpretar la matriz</w:t>
            </w:r>
          </w:p>
          <w:p>
            <w:r>
              <w:rPr>
                <w:rFonts w:ascii="Calibri" w:cs="Calibri" w:eastAsia="Calibri" w:hAnsi="Calibri"/>
                <w:i/>
                <w:iCs/>
                <w:color w:val="5B6472"/>
                <w:sz w:val="18"/>
                <w:szCs w:val="18"/>
              </w:rPr>
              <w:t xml:space="preserve">Los cuatro ejes de análisis y su lógica de decisión</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5</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Cinco preguntas que Dirección no debería dejar sin respuesta</w:t>
            </w:r>
          </w:p>
          <w:p>
            <w:r>
              <w:rPr>
                <w:rFonts w:ascii="Calibri" w:cs="Calibri" w:eastAsia="Calibri" w:hAnsi="Calibri"/>
                <w:i/>
                <w:iCs/>
                <w:color w:val="5B6472"/>
                <w:sz w:val="18"/>
                <w:szCs w:val="18"/>
              </w:rPr>
              <w:t xml:space="preserve">Síntesis ejecutiva del Business Purpose Test</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6</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Precisión normativa sobre el artículo 5-A del CFF</w:t>
            </w:r>
          </w:p>
          <w:p>
            <w:r>
              <w:rPr>
                <w:rFonts w:ascii="Calibri" w:cs="Calibri" w:eastAsia="Calibri" w:hAnsi="Calibri"/>
                <w:i/>
                <w:iCs/>
                <w:color w:val="5B6472"/>
                <w:sz w:val="18"/>
                <w:szCs w:val="18"/>
              </w:rPr>
              <w:t xml:space="preserve">Concurrencia de elementos exigida por la norma</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7</w:t>
            </w:r>
          </w:p>
        </w:tc>
        <w:tc>
          <w:tcPr>
            <w:tcW w:type="dxa" w:w="8730"/>
            <w:tcBorders>
              <w:top w:val="single" w:color="FFFFFF" w:sz="0"/>
              <w:left w:val="single" w:color="FFFFFF" w:sz="0"/>
              <w:bottom w:val="single" w:color="D8DEE7" w:sz="4"/>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Resultado ejecutivo sugerido</w:t>
            </w:r>
          </w:p>
          <w:p>
            <w:r>
              <w:rPr>
                <w:rFonts w:ascii="Calibri" w:cs="Calibri" w:eastAsia="Calibri" w:hAnsi="Calibri"/>
                <w:i/>
                <w:iCs/>
                <w:color w:val="5B6472"/>
                <w:sz w:val="18"/>
                <w:szCs w:val="18"/>
              </w:rPr>
              <w:t xml:space="preserve">Tres escenarios posibles de conclusión</w:t>
            </w:r>
          </w:p>
        </w:tc>
      </w:tr>
      <w:tr>
        <w:tc>
          <w:tcPr>
            <w:tcW w:type="dxa" w:w="620"/>
            <w:tcBorders>
              <w:top w:val="none" w:color="FFFFFF" w:sz="0"/>
              <w:left w:val="none" w:color="FFFFFF" w:sz="0"/>
              <w:bottom w:val="none" w:color="FFFFFF" w:sz="0"/>
              <w:right w:val="none" w:color="FFFFFF" w:sz="0"/>
            </w:tcBorders>
            <w:shd w:fill="03286C" w:color="auto" w:val="clear"/>
            <w:tcMar>
              <w:top w:type="dxa" w:w="100"/>
              <w:left w:type="dxa" w:w="0"/>
              <w:bottom w:type="dxa" w:w="100"/>
              <w:right w:type="dxa" w:w="0"/>
            </w:tcMar>
            <w:vAlign w:val="center"/>
          </w:tcPr>
          <w:p>
            <w:pPr>
              <w:jc w:val="center"/>
            </w:pPr>
            <w:r>
              <w:rPr>
                <w:rFonts w:ascii="Cambria" w:cs="Cambria" w:eastAsia="Cambria" w:hAnsi="Cambria"/>
                <w:b/>
                <w:bCs/>
                <w:color w:val="FFFFFF"/>
                <w:sz w:val="24"/>
                <w:szCs w:val="24"/>
              </w:rPr>
              <w:t xml:space="preserve">8</w:t>
            </w:r>
          </w:p>
        </w:tc>
        <w:tc>
          <w:tcPr>
            <w:tcW w:type="dxa" w:w="8730"/>
            <w:tcBorders>
              <w:top w:val="single" w:color="FFFFFF" w:sz="0"/>
              <w:left w:val="single" w:color="FFFFFF" w:sz="0"/>
              <w:bottom w:val="single" w:color="FFFFFF" w:sz="0"/>
              <w:right w:val="single" w:color="FFFFFF" w:sz="0"/>
            </w:tcBorders>
            <w:tcMar>
              <w:top w:type="dxa" w:w="100"/>
              <w:left w:type="dxa" w:w="220"/>
              <w:bottom w:type="dxa" w:w="100"/>
              <w:right w:type="dxa" w:w="120"/>
            </w:tcMar>
            <w:vAlign w:val="center"/>
          </w:tcPr>
          <w:p>
            <w:pPr>
              <w:spacing w:after="20"/>
            </w:pPr>
            <w:r>
              <w:rPr>
                <w:rFonts w:ascii="Calibri" w:cs="Calibri" w:eastAsia="Calibri" w:hAnsi="Calibri"/>
                <w:b/>
                <w:bCs/>
                <w:color w:val="03286C"/>
                <w:sz w:val="21"/>
                <w:szCs w:val="21"/>
              </w:rPr>
              <w:t xml:space="preserve">Advertencia preventiva y contacto</w:t>
            </w:r>
          </w:p>
          <w:p>
            <w:r>
              <w:rPr>
                <w:rFonts w:ascii="Calibri" w:cs="Calibri" w:eastAsia="Calibri" w:hAnsi="Calibri"/>
                <w:i/>
                <w:iCs/>
                <w:color w:val="5B6472"/>
                <w:sz w:val="18"/>
                <w:szCs w:val="18"/>
              </w:rPr>
              <w:t xml:space="preserve">Alcance del instrumento y datos de contacto del responsable</w:t>
            </w:r>
          </w:p>
        </w:tc>
      </w:tr>
    </w:tbl>
    <w:p>
      <w:pPr>
        <w:pBdr>
          <w:bottom w:val="single" w:color="0D78D8" w:sz="10" w:space="6"/>
        </w:pBdr>
        <w:spacing w:after="160" w:before="380"/>
      </w:pPr>
      <w:r>
        <w:rPr>
          <w:rFonts w:ascii="Cambria" w:cs="Cambria" w:eastAsia="Cambria" w:hAnsi="Cambria"/>
          <w:b/>
          <w:bCs/>
          <w:color w:val="0D78D8"/>
          <w:sz w:val="30"/>
          <w:szCs w:val="30"/>
        </w:rPr>
        <w:t xml:space="preserve">1.  </w:t>
      </w:r>
      <w:r>
        <w:rPr>
          <w:rFonts w:ascii="Cambria" w:cs="Cambria" w:eastAsia="Cambria" w:hAnsi="Cambria"/>
          <w:b/>
          <w:bCs/>
          <w:color w:val="03286C"/>
          <w:sz w:val="30"/>
          <w:szCs w:val="30"/>
        </w:rPr>
        <w:t xml:space="preserve">Objetivo y alcance del documento</w:t>
      </w:r>
    </w:p>
    <w:p>
      <w:pPr>
        <w:spacing w:after="160" w:before="0" w:line="300"/>
        <w:jc w:val="both"/>
      </w:pPr>
      <w:r>
        <w:rPr>
          <w:rFonts w:ascii="Calibri" w:cs="Calibri" w:eastAsia="Calibri" w:hAnsi="Calibri"/>
          <w:b w:val="false"/>
          <w:bCs w:val="false"/>
          <w:i w:val="false"/>
          <w:iCs w:val="false"/>
          <w:color w:val="1B1F27"/>
          <w:sz w:val="21"/>
          <w:szCs w:val="21"/>
        </w:rPr>
        <w:t xml:space="preserve">La presente matriz constituye un instrumento ejecutivo de autoevaluación, diseñado para que la Dirección, el área Fiscal, el área Legal, Finanzas y Comercio Exterior de la Compañía cuenten con un marco común para revisar sus operaciones virtuales de comercio exterior — transferencias V1, esquemas RFE y modelos G9, entre otros — desde una perspectiva de razón de negocios, beneficio económico, beneficio fiscal y sustancia económica.</w:t>
      </w:r>
    </w:p>
    <w:p>
      <w:pPr>
        <w:spacing w:after="160" w:before="0" w:line="300"/>
        <w:jc w:val="both"/>
      </w:pPr>
      <w:r>
        <w:rPr>
          <w:rFonts w:ascii="Calibri" w:cs="Calibri" w:eastAsia="Calibri" w:hAnsi="Calibri"/>
          <w:b w:val="false"/>
          <w:bCs w:val="false"/>
          <w:i w:val="false"/>
          <w:iCs w:val="false"/>
          <w:color w:val="1B1F27"/>
          <w:sz w:val="21"/>
          <w:szCs w:val="21"/>
        </w:rPr>
        <w:t xml:space="preserve">El instrumento parte de una premisa central: la operación no debe revisarse exclusivamente desde el pedimento aduanero, sino de manera integral desde nueve dimensiones interrelacionadas — aduanera, operativa, contractual, financiera, contable, fiscal, IMMEX, económica y de razón de negocios. Sólo una revisión que atienda estas nueve dimensiones de manera simultánea permite construir una narrativa económica congruente y sostenible frente a una eventual revisión de la autoridad.</w:t>
      </w:r>
    </w:p>
    <w:p>
      <w:pPr>
        <w:spacing w:after="160" w:before="0" w:line="300"/>
        <w:jc w:val="both"/>
      </w:pPr>
      <w:r>
        <w:rPr>
          <w:rFonts w:ascii="Calibri" w:cs="Calibri" w:eastAsia="Calibri" w:hAnsi="Calibri"/>
          <w:b w:val="false"/>
          <w:bCs w:val="false"/>
          <w:i w:val="false"/>
          <w:iCs w:val="false"/>
          <w:color w:val="1B1F27"/>
          <w:sz w:val="21"/>
          <w:szCs w:val="21"/>
        </w:rPr>
        <w:t xml:space="preserve">La matriz se organiza en dieciocho preguntas ejecutivas, agrupadas conforme a una lógica de causalidad: primero se examina la existencia de un propósito empresarial autónomo; después, la sustancia económica y la congruencia operativa; finalmente, la congruencia documental que debe unir al pedimento, el contrato, la factura, la contabilidad, el Anexo 24 y el proceso productivo en una sola historia verificable.</w:t>
      </w:r>
    </w:p>
    <w:p>
      <w:pPr>
        <w:pBdr>
          <w:bottom w:val="single" w:color="0D78D8" w:sz="10" w:space="6"/>
        </w:pBdr>
        <w:spacing w:after="160" w:before="380"/>
      </w:pPr>
      <w:r>
        <w:rPr>
          <w:rFonts w:ascii="Cambria" w:cs="Cambria" w:eastAsia="Cambria" w:hAnsi="Cambria"/>
          <w:b/>
          <w:bCs/>
          <w:color w:val="0D78D8"/>
          <w:sz w:val="30"/>
          <w:szCs w:val="30"/>
        </w:rPr>
        <w:t xml:space="preserve">2.  </w:t>
      </w:r>
      <w:r>
        <w:rPr>
          <w:rFonts w:ascii="Cambria" w:cs="Cambria" w:eastAsia="Cambria" w:hAnsi="Cambria"/>
          <w:b/>
          <w:bCs/>
          <w:color w:val="03286C"/>
          <w:sz w:val="30"/>
          <w:szCs w:val="30"/>
        </w:rPr>
        <w:t xml:space="preserve">Semáforo de evaluación</w:t>
      </w:r>
    </w:p>
    <w:p>
      <w:pPr>
        <w:spacing w:after="160" w:before="0" w:line="300"/>
        <w:jc w:val="both"/>
      </w:pPr>
      <w:r>
        <w:rPr>
          <w:rFonts w:ascii="Calibri" w:cs="Calibri" w:eastAsia="Calibri" w:hAnsi="Calibri"/>
          <w:b w:val="false"/>
          <w:bCs w:val="false"/>
          <w:i w:val="false"/>
          <w:iCs w:val="false"/>
          <w:color w:val="1B1F27"/>
          <w:sz w:val="21"/>
          <w:szCs w:val="21"/>
        </w:rPr>
        <w:t xml:space="preserve">Cada una de las dieciocho preguntas de la matriz se califica conforme al siguiente criterio de semaforización, aplicable de manera uniforme a todas las operaciones virtuales sujetas a revisión: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1E7A46" w:sz="28"/>
              <w:left w:val="single" w:color="D8DEE7" w:sz="2"/>
              <w:bottom w:val="single" w:color="D8DEE7" w:sz="2"/>
              <w:right w:val="single" w:color="D8DEE7" w:sz="2"/>
            </w:tcBorders>
            <w:shd w:fill="E7F5EC" w:color="auto" w:val="clear"/>
            <w:tcMar>
              <w:top w:type="dxa" w:w="160"/>
              <w:left w:type="dxa" w:w="160"/>
              <w:bottom w:type="dxa" w:w="160"/>
              <w:right w:type="dxa" w:w="160"/>
            </w:tcMar>
            <w:vAlign w:val="top"/>
          </w:tcPr>
          <w:p>
            <w:pPr>
              <w:spacing w:after="60"/>
            </w:pPr>
            <w:r>
              <w:rPr>
                <w:rFonts w:ascii="Calibri" w:cs="Calibri" w:eastAsia="Calibri" w:hAnsi="Calibri"/>
                <w:color w:val="1E7A46"/>
                <w:sz w:val="22"/>
                <w:szCs w:val="22"/>
              </w:rPr>
              <w:t xml:space="preserve">●</w:t>
            </w:r>
            <w:r>
              <w:rPr>
                <w:rFonts w:ascii="Cambria" w:cs="Cambria" w:eastAsia="Cambria" w:hAnsi="Cambria"/>
                <w:b/>
                <w:bCs/>
                <w:color w:val="1E7A46"/>
                <w:sz w:val="19"/>
                <w:szCs w:val="19"/>
              </w:rPr>
              <w:t xml:space="preserve">  Sí / consistente</w:t>
            </w:r>
          </w:p>
          <w:p>
            <w:r>
              <w:rPr>
                <w:rFonts w:ascii="Calibri" w:cs="Calibri" w:eastAsia="Calibri" w:hAnsi="Calibri"/>
                <w:color w:val="1B1F27"/>
                <w:sz w:val="17"/>
                <w:szCs w:val="17"/>
              </w:rPr>
              <w:t xml:space="preserve">Existe una explicación clara y evidencia razonable.</w:t>
            </w:r>
          </w:p>
        </w:tc>
        <w:tc>
          <w:tcPr>
            <w:tcW w:type="dxa" w:w="4675"/>
            <w:tcBorders>
              <w:top w:val="single" w:color="B4790A" w:sz="28"/>
              <w:left w:val="single" w:color="D8DEE7" w:sz="2"/>
              <w:bottom w:val="single" w:color="D8DEE7" w:sz="2"/>
              <w:right w:val="single" w:color="D8DEE7" w:sz="2"/>
            </w:tcBorders>
            <w:shd w:fill="FDF3E1" w:color="auto" w:val="clear"/>
            <w:tcMar>
              <w:top w:type="dxa" w:w="160"/>
              <w:left w:type="dxa" w:w="160"/>
              <w:bottom w:type="dxa" w:w="160"/>
              <w:right w:type="dxa" w:w="160"/>
            </w:tcMar>
            <w:vAlign w:val="top"/>
          </w:tcPr>
          <w:p>
            <w:pPr>
              <w:spacing w:after="60"/>
            </w:pPr>
            <w:r>
              <w:rPr>
                <w:rFonts w:ascii="Calibri" w:cs="Calibri" w:eastAsia="Calibri" w:hAnsi="Calibri"/>
                <w:color w:val="B4790A"/>
                <w:sz w:val="22"/>
                <w:szCs w:val="22"/>
              </w:rPr>
              <w:t xml:space="preserve">●</w:t>
            </w:r>
            <w:r>
              <w:rPr>
                <w:rFonts w:ascii="Cambria" w:cs="Cambria" w:eastAsia="Cambria" w:hAnsi="Cambria"/>
                <w:b/>
                <w:bCs/>
                <w:color w:val="B4790A"/>
                <w:sz w:val="19"/>
                <w:szCs w:val="19"/>
              </w:rPr>
              <w:t xml:space="preserve">  Parcial</w:t>
            </w:r>
          </w:p>
          <w:p>
            <w:r>
              <w:rPr>
                <w:rFonts w:ascii="Calibri" w:cs="Calibri" w:eastAsia="Calibri" w:hAnsi="Calibri"/>
                <w:color w:val="1B1F27"/>
                <w:sz w:val="17"/>
                <w:szCs w:val="17"/>
              </w:rPr>
              <w:t xml:space="preserve">La explicación existe, pero presenta vacíos o documentación insuficiente.</w:t>
            </w:r>
          </w:p>
        </w:tc>
      </w:tr>
      <w:tr>
        <w:tc>
          <w:tcPr>
            <w:tcW w:type="dxa" w:w="4675"/>
            <w:tcBorders>
              <w:top w:val="single" w:color="B23A2E" w:sz="28"/>
              <w:left w:val="single" w:color="D8DEE7" w:sz="2"/>
              <w:bottom w:val="single" w:color="D8DEE7" w:sz="2"/>
              <w:right w:val="single" w:color="D8DEE7" w:sz="2"/>
            </w:tcBorders>
            <w:shd w:fill="FBEAE8" w:color="auto" w:val="clear"/>
            <w:tcMar>
              <w:top w:type="dxa" w:w="160"/>
              <w:left w:type="dxa" w:w="160"/>
              <w:bottom w:type="dxa" w:w="160"/>
              <w:right w:type="dxa" w:w="160"/>
            </w:tcMar>
            <w:vAlign w:val="top"/>
          </w:tcPr>
          <w:p>
            <w:pPr>
              <w:spacing w:after="60"/>
            </w:pPr>
            <w:r>
              <w:rPr>
                <w:rFonts w:ascii="Calibri" w:cs="Calibri" w:eastAsia="Calibri" w:hAnsi="Calibri"/>
                <w:color w:val="B23A2E"/>
                <w:sz w:val="22"/>
                <w:szCs w:val="22"/>
              </w:rPr>
              <w:t xml:space="preserve">●</w:t>
            </w:r>
            <w:r>
              <w:rPr>
                <w:rFonts w:ascii="Cambria" w:cs="Cambria" w:eastAsia="Cambria" w:hAnsi="Cambria"/>
                <w:b/>
                <w:bCs/>
                <w:color w:val="B23A2E"/>
                <w:sz w:val="19"/>
                <w:szCs w:val="19"/>
              </w:rPr>
              <w:t xml:space="preserve">  No / riesgo</w:t>
            </w:r>
          </w:p>
          <w:p>
            <w:r>
              <w:rPr>
                <w:rFonts w:ascii="Calibri" w:cs="Calibri" w:eastAsia="Calibri" w:hAnsi="Calibri"/>
                <w:color w:val="1B1F27"/>
                <w:sz w:val="17"/>
                <w:szCs w:val="17"/>
              </w:rPr>
              <w:t xml:space="preserve">No existe explicación económica clara o la evidencia contradice la estructura.</w:t>
            </w:r>
          </w:p>
        </w:tc>
        <w:tc>
          <w:tcPr>
            <w:tcW w:type="dxa" w:w="4675"/>
            <w:tcBorders>
              <w:top w:val="single" w:color="6B7280" w:sz="28"/>
              <w:left w:val="single" w:color="D8DEE7" w:sz="2"/>
              <w:bottom w:val="single" w:color="D8DEE7" w:sz="2"/>
              <w:right w:val="single" w:color="D8DEE7" w:sz="2"/>
            </w:tcBorders>
            <w:shd w:fill="EFF1F3" w:color="auto" w:val="clear"/>
            <w:tcMar>
              <w:top w:type="dxa" w:w="160"/>
              <w:left w:type="dxa" w:w="160"/>
              <w:bottom w:type="dxa" w:w="160"/>
              <w:right w:type="dxa" w:w="160"/>
            </w:tcMar>
            <w:vAlign w:val="top"/>
          </w:tcPr>
          <w:p>
            <w:pPr>
              <w:spacing w:after="60"/>
            </w:pPr>
            <w:r>
              <w:rPr>
                <w:rFonts w:ascii="Calibri" w:cs="Calibri" w:eastAsia="Calibri" w:hAnsi="Calibri"/>
                <w:color w:val="6B7280"/>
                <w:sz w:val="22"/>
                <w:szCs w:val="22"/>
              </w:rPr>
              <w:t xml:space="preserve">●</w:t>
            </w:r>
            <w:r>
              <w:rPr>
                <w:rFonts w:ascii="Cambria" w:cs="Cambria" w:eastAsia="Cambria" w:hAnsi="Cambria"/>
                <w:b/>
                <w:bCs/>
                <w:color w:val="6B7280"/>
                <w:sz w:val="19"/>
                <w:szCs w:val="19"/>
              </w:rPr>
              <w:t xml:space="preserve">  N/A</w:t>
            </w:r>
          </w:p>
          <w:p>
            <w:r>
              <w:rPr>
                <w:rFonts w:ascii="Calibri" w:cs="Calibri" w:eastAsia="Calibri" w:hAnsi="Calibri"/>
                <w:color w:val="1B1F27"/>
                <w:sz w:val="17"/>
                <w:szCs w:val="17"/>
              </w:rPr>
              <w:t xml:space="preserve">El criterio no resulta aplicable a la operación evaluada.</w:t>
            </w:r>
          </w:p>
        </w:tc>
      </w:tr>
    </w:tbl>
    <w:p>
      <w:pPr>
        <w:sectPr>
          <w:headerReference w:type="default" r:id="rId7"/>
          <w:footerReference w:type="default" r:id="rId8"/>
          <w:pgSz w:w="12240" w:h="15840" w:orient="portrait"/>
          <w:pgMar w:top="1440" w:right="1440" w:bottom="1440" w:left="1440" w:header="708" w:footer="708" w:gutter="0"/>
          <w:pgNumType/>
          <w:docGrid w:linePitch="360"/>
        </w:sectPr>
      </w:pPr>
    </w:p>
    <w:p>
      <w:pPr>
        <w:pBdr>
          <w:bottom w:val="single" w:color="0D78D8" w:sz="10" w:space="6"/>
        </w:pBdr>
        <w:spacing w:after="160" w:before="380"/>
      </w:pPr>
      <w:r>
        <w:rPr>
          <w:rFonts w:ascii="Cambria" w:cs="Cambria" w:eastAsia="Cambria" w:hAnsi="Cambria"/>
          <w:b/>
          <w:bCs/>
          <w:color w:val="0D78D8"/>
          <w:sz w:val="30"/>
          <w:szCs w:val="30"/>
        </w:rPr>
        <w:t xml:space="preserve">3.  </w:t>
      </w:r>
      <w:r>
        <w:rPr>
          <w:rFonts w:ascii="Cambria" w:cs="Cambria" w:eastAsia="Cambria" w:hAnsi="Cambria"/>
          <w:b/>
          <w:bCs/>
          <w:color w:val="03286C"/>
          <w:sz w:val="30"/>
          <w:szCs w:val="30"/>
        </w:rPr>
        <w:t xml:space="preserve">Matriz ejecutiva de dieciocho preguntas</w:t>
      </w:r>
    </w:p>
    <w:p>
      <w:pPr>
        <w:spacing w:after="200" w:before="0" w:line="300"/>
        <w:jc w:val="both"/>
      </w:pPr>
      <w:r>
        <w:rPr>
          <w:rFonts w:ascii="Calibri" w:cs="Calibri" w:eastAsia="Calibri" w:hAnsi="Calibri"/>
          <w:b w:val="false"/>
          <w:bCs w:val="false"/>
          <w:i w:val="false"/>
          <w:iCs w:val="false"/>
          <w:color w:val="1B1F27"/>
          <w:sz w:val="21"/>
          <w:szCs w:val="21"/>
        </w:rPr>
        <w:t xml:space="preserve">El siguiente instrumento debe completarse por operación virtual evaluada, seleccionando el color correspondiente en la columna de resultado conforme al semáforo descrito en la sección anterior. Se recomienda documentar, para cada respuesta, la evidencia concreta en que se sustenta la calificación asignada.</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500"/>
        <w:gridCol w:w="3550"/>
        <w:gridCol w:w="2950"/>
        <w:gridCol w:w="5000"/>
        <w:gridCol w:w="2400"/>
      </w:tblGrid>
      <w:tr>
        <w:trPr>
          <w:tblHeader/>
        </w:trPr>
        <w:tc>
          <w:tcPr>
            <w:tcW w:type="dxa" w:w="500"/>
            <w:tcBorders>
              <w:top w:val="single" w:color="03286C" w:sz="4"/>
              <w:left w:val="single" w:color="03286C" w:sz="4"/>
              <w:bottom w:val="single" w:color="0D78D8" w:sz="16"/>
              <w:right w:val="single" w:color="FFFFFF" w:sz="4"/>
            </w:tcBorders>
            <w:shd w:fill="03286C" w:color="auto" w:val="clear"/>
            <w:tcMar>
              <w:top w:type="dxa" w:w="100"/>
              <w:left w:type="dxa" w:w="120"/>
              <w:bottom w:type="dxa" w:w="100"/>
              <w:right w:type="dxa" w:w="120"/>
            </w:tcMar>
            <w:vAlign w:val="center"/>
          </w:tcPr>
          <w:p>
            <w:r>
              <w:rPr>
                <w:rFonts w:ascii="Cambria" w:cs="Cambria" w:eastAsia="Cambria" w:hAnsi="Cambria"/>
                <w:b/>
                <w:bCs/>
                <w:color w:val="FFFFFF"/>
                <w:sz w:val="18"/>
                <w:szCs w:val="18"/>
              </w:rPr>
              <w:t xml:space="preserve">#</w:t>
            </w:r>
          </w:p>
        </w:tc>
        <w:tc>
          <w:tcPr>
            <w:tcW w:type="dxa" w:w="3550"/>
            <w:tcBorders>
              <w:top w:val="single" w:color="03286C" w:sz="4"/>
              <w:left w:val="single" w:color="03286C" w:sz="4"/>
              <w:bottom w:val="single" w:color="0D78D8" w:sz="16"/>
              <w:right w:val="single" w:color="FFFFFF" w:sz="4"/>
            </w:tcBorders>
            <w:shd w:fill="03286C" w:color="auto" w:val="clear"/>
            <w:tcMar>
              <w:top w:type="dxa" w:w="100"/>
              <w:left w:type="dxa" w:w="120"/>
              <w:bottom w:type="dxa" w:w="100"/>
              <w:right w:type="dxa" w:w="120"/>
            </w:tcMar>
            <w:vAlign w:val="center"/>
          </w:tcPr>
          <w:p>
            <w:r>
              <w:rPr>
                <w:rFonts w:ascii="Cambria" w:cs="Cambria" w:eastAsia="Cambria" w:hAnsi="Cambria"/>
                <w:b/>
                <w:bCs/>
                <w:color w:val="FFFFFF"/>
                <w:sz w:val="18"/>
                <w:szCs w:val="18"/>
              </w:rPr>
              <w:t xml:space="preserve">Pregunta ejecutiva</w:t>
            </w:r>
          </w:p>
        </w:tc>
        <w:tc>
          <w:tcPr>
            <w:tcW w:type="dxa" w:w="2950"/>
            <w:tcBorders>
              <w:top w:val="single" w:color="03286C" w:sz="4"/>
              <w:left w:val="single" w:color="03286C" w:sz="4"/>
              <w:bottom w:val="single" w:color="0D78D8" w:sz="16"/>
              <w:right w:val="single" w:color="FFFFFF" w:sz="4"/>
            </w:tcBorders>
            <w:shd w:fill="03286C" w:color="auto" w:val="clear"/>
            <w:tcMar>
              <w:top w:type="dxa" w:w="100"/>
              <w:left w:type="dxa" w:w="120"/>
              <w:bottom w:type="dxa" w:w="100"/>
              <w:right w:type="dxa" w:w="120"/>
            </w:tcMar>
            <w:vAlign w:val="center"/>
          </w:tcPr>
          <w:p>
            <w:r>
              <w:rPr>
                <w:rFonts w:ascii="Cambria" w:cs="Cambria" w:eastAsia="Cambria" w:hAnsi="Cambria"/>
                <w:b/>
                <w:bCs/>
                <w:color w:val="FFFFFF"/>
                <w:sz w:val="18"/>
                <w:szCs w:val="18"/>
              </w:rPr>
              <w:t xml:space="preserve">¿Qué buscamos validar?</w:t>
            </w:r>
          </w:p>
        </w:tc>
        <w:tc>
          <w:tcPr>
            <w:tcW w:type="dxa" w:w="5000"/>
            <w:tcBorders>
              <w:top w:val="single" w:color="03286C" w:sz="4"/>
              <w:left w:val="single" w:color="03286C" w:sz="4"/>
              <w:bottom w:val="single" w:color="0D78D8" w:sz="16"/>
              <w:right w:val="single" w:color="FFFFFF" w:sz="4"/>
            </w:tcBorders>
            <w:shd w:fill="03286C" w:color="auto" w:val="clear"/>
            <w:tcMar>
              <w:top w:type="dxa" w:w="100"/>
              <w:left w:type="dxa" w:w="120"/>
              <w:bottom w:type="dxa" w:w="100"/>
              <w:right w:type="dxa" w:w="120"/>
            </w:tcMar>
            <w:vAlign w:val="center"/>
          </w:tcPr>
          <w:p>
            <w:r>
              <w:rPr>
                <w:rFonts w:ascii="Cambria" w:cs="Cambria" w:eastAsia="Cambria" w:hAnsi="Cambria"/>
                <w:b/>
                <w:bCs/>
                <w:color w:val="FFFFFF"/>
                <w:sz w:val="18"/>
                <w:szCs w:val="18"/>
              </w:rPr>
              <w:t xml:space="preserve">Evidencia o explicación esperada</w:t>
            </w:r>
          </w:p>
        </w:tc>
        <w:tc>
          <w:tcPr>
            <w:tcW w:type="dxa" w:w="2400"/>
            <w:tcBorders>
              <w:top w:val="single" w:color="03286C" w:sz="4"/>
              <w:left w:val="single" w:color="03286C" w:sz="4"/>
              <w:bottom w:val="single" w:color="0D78D8" w:sz="16"/>
              <w:right w:val="single" w:color="FFFFFF" w:sz="4"/>
            </w:tcBorders>
            <w:shd w:fill="03286C" w:color="auto" w:val="clear"/>
            <w:tcMar>
              <w:top w:type="dxa" w:w="100"/>
              <w:left w:type="dxa" w:w="120"/>
              <w:bottom w:type="dxa" w:w="100"/>
              <w:right w:type="dxa" w:w="120"/>
            </w:tcMar>
            <w:vAlign w:val="center"/>
          </w:tcPr>
          <w:p>
            <w:r>
              <w:rPr>
                <w:rFonts w:ascii="Cambria" w:cs="Cambria" w:eastAsia="Cambria" w:hAnsi="Cambria"/>
                <w:b/>
                <w:bCs/>
                <w:color w:val="FFFFFF"/>
                <w:sz w:val="18"/>
                <w:szCs w:val="18"/>
              </w:rPr>
              <w:t xml:space="preserve">Resultado</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¿Por qué existe esta operación virtual?</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Identificar el propósito empresarial real.</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Producción, continuidad de suministro, requerimiento del cliente, administración de activos, reducción de costos, eficiencia logística, acceso a mercado, etc.</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2</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¿Qué beneficio económico razonablemente esperado persigue la Compañía?</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Determinar que existe un resultado económico distinto del fiscal.</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Generación de ingresos, reducción de costos, continuidad operativa, eficiencia productiva, acceso a cliente, incremento de valor, mejor utilización de activos.</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3</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¿Podemos cuantificar o explicar razonablemente ese beneficio económico?</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Dar contenido verificable a la razón de negocios.</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Business case, forecast, análisis de costos, capacidad instalada, ahorro logístico, producción esperada, ingresos proyectados.</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4</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¿La operación genera un beneficio fiscal directo o indirecto?</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Identificar el segundo elemento relevante del artículo 5-A.</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Diferimiento, reducción, acreditamiento, eliminación o cualquier efecto favorable en contribuciones.</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5</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¿El beneficio fiscal es mayor que el beneficio económico cuantificable esperado?</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Detectar una de las presunciones previstas en el artículo 5-A.</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Comparativo económico-fiscal razonable, cuando sea posible cuantificar ambos componentes.</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6</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Si elimináramos el beneficio fiscal, ¿la operación seguiría teniendo sentido empresarial?</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Aplicar el test conceptual más útil de razón de negocios.</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Una explicación económica autónoma y convincente.</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7</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¿La misma finalidad económica podría alcanzarse con menos actos jurídicos?</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Detectar estructuras innecesariamente complejas.</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Explicación de por qué cada contrato, entidad o paso resulta necesario.</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8</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¿Por qué participa cada entidad en la estructura?</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Confirmar que no existan participantes meramente instrumentales.</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Funciones, activos, riesgos, obligaciones y beneficios concretos por entidad.</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9</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¿Cada entidad realiza efectivamente la función que contractualmente se le atribuye?</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Evaluar sustancia económica.</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Operación real compatible con contratos, responsabilidades y registros.</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10</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¿Quién es propietario, quién posee y quién utiliza realmente la mercancía o activo?</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Confirmar congruencia jurídica y física.</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Titularidad, posesión, ubicación, uso y disposición claramente identificables.</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11</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¿Quién asume los principales riesgos económicos?</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Identificar quién soporta realmente la operación.</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Riesgo de pérdida, daño, obsolescencia, inventario, mantenimiento, producción o incumplimiento.</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12</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¿Existe una contraprestación o flujo financiero consistente con la operación?</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Confirmar que la realidad financiera corresponda con la estructura jurídica.</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Pagos, cuentas por cobrar/pagar, netting, compensaciones o explicación documentada cuando no exista flujo directo.</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13</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¿Contrato, pedimento, factura y contabilidad describen la misma transacción?</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Revisar congruencia transversal.</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Coincidencia razonable entre partes, mercancía, valor, propiedad y naturaleza de la operación.</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14</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¿ERP, Anexo 24 e inventario físico confirman lo que declara el pedimento V1?</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Confirmar trazabilidad operativa y aduanera.</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Movimientos, descargos, ubicaciones, consumos y registros consistentes.</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15</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¿Podemos demostrar el proceso productivo de la mercancía transferida?</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Atender la trazabilidad exigida por el artículo 112.</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BOM, órdenes de producción, consumos, transformación, scrap y registros relacionados.</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16</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¿Existe evidencia contemporánea que explique por qué se aprobó la estructura?</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Evitar una defensa construida exclusivamente ex post.</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Correos, memorandos, aprobaciones, análisis de inversión, estudios de costos, decisiones corporativas.</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17</w:t>
            </w:r>
          </w:p>
        </w:tc>
        <w:tc>
          <w:tcPr>
            <w:tcW w:type="dxa" w:w="35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¿La operación se ha replicado durante varios años bajo la misma lógica?</w:t>
            </w:r>
          </w:p>
        </w:tc>
        <w:tc>
          <w:tcPr>
            <w:tcW w:type="dxa" w:w="295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Medir exposición histórica.</w:t>
            </w:r>
          </w:p>
        </w:tc>
        <w:tc>
          <w:tcPr>
            <w:tcW w:type="dxa" w:w="5000"/>
            <w:tcBorders>
              <w:top w:val="single" w:color="D8DEE7" w:sz="2"/>
              <w:left w:val="single" w:color="D8DEE7" w:sz="2"/>
              <w:bottom w:val="single" w:color="D8DEE7" w:sz="2"/>
              <w:right w:val="single" w:color="D8DEE7" w:sz="2"/>
            </w:tcBorders>
            <w:shd w:fill="FFFFFF"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Periodos, volumen, número de pedimentos y recurrencia del modelo.</w:t>
            </w:r>
          </w:p>
        </w:tc>
        <w:tc>
          <w:tcPr>
            <w:tcW w:type="dxa" w:w="2400"/>
            <w:tcBorders>
              <w:top w:val="single" w:color="D8DEE7" w:sz="2"/>
              <w:left w:val="single" w:color="D8DEE7" w:sz="2"/>
              <w:bottom w:val="single" w:color="D8DEE7" w:sz="2"/>
              <w:right w:val="single" w:color="D8DEE7" w:sz="2"/>
            </w:tcBorders>
            <w:shd w:fill="FFFFFF"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r>
        <w:trPr>
          <w:cantSplit/>
        </w:trPr>
        <w:tc>
          <w:tcPr>
            <w:tcW w:type="dxa" w:w="5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center"/>
            </w:pPr>
            <w:r>
              <w:rPr>
                <w:rFonts w:ascii="Calibri" w:cs="Calibri" w:eastAsia="Calibri" w:hAnsi="Calibri"/>
                <w:b/>
                <w:bCs/>
                <w:color w:val="03286C"/>
                <w:sz w:val="17"/>
                <w:szCs w:val="17"/>
              </w:rPr>
              <w:t xml:space="preserve">18</w:t>
            </w:r>
          </w:p>
        </w:tc>
        <w:tc>
          <w:tcPr>
            <w:tcW w:type="dxa" w:w="35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bCs/>
                <w:color w:val="03286C"/>
                <w:sz w:val="17"/>
                <w:szCs w:val="17"/>
              </w:rPr>
              <w:t xml:space="preserve">¿La explicación interna de la operación es consistente entre Fiscal, Legal, Finanzas y Comercio Exterior?</w:t>
            </w:r>
          </w:p>
        </w:tc>
        <w:tc>
          <w:tcPr>
            <w:tcW w:type="dxa" w:w="295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Detectar diferencias internas de interpretación.</w:t>
            </w:r>
          </w:p>
        </w:tc>
        <w:tc>
          <w:tcPr>
            <w:tcW w:type="dxa" w:w="5000"/>
            <w:tcBorders>
              <w:top w:val="single" w:color="D8DEE7" w:sz="2"/>
              <w:left w:val="single" w:color="D8DEE7" w:sz="2"/>
              <w:bottom w:val="single" w:color="D8DEE7" w:sz="2"/>
              <w:right w:val="single" w:color="D8DEE7" w:sz="2"/>
            </w:tcBorders>
            <w:shd w:fill="F4F6F9" w:color="auto" w:val="clear"/>
            <w:tcMar>
              <w:top w:type="dxa" w:w="100"/>
              <w:left w:type="dxa" w:w="120"/>
              <w:bottom w:type="dxa" w:w="100"/>
              <w:right w:type="dxa" w:w="120"/>
            </w:tcMar>
            <w:vAlign w:val="center"/>
          </w:tcPr>
          <w:p>
            <w:pPr>
              <w:jc w:val="left"/>
            </w:pPr>
            <w:r>
              <w:rPr>
                <w:rFonts w:ascii="Calibri" w:cs="Calibri" w:eastAsia="Calibri" w:hAnsi="Calibri"/>
                <w:b w:val="false"/>
                <w:bCs w:val="false"/>
                <w:color w:val="1B1F27"/>
                <w:sz w:val="17"/>
                <w:szCs w:val="17"/>
              </w:rPr>
              <w:t xml:space="preserve">Una narrativa corporativa común y documentada.</w:t>
            </w:r>
          </w:p>
        </w:tc>
        <w:tc>
          <w:tcPr>
            <w:tcW w:type="dxa" w:w="2400"/>
            <w:tcBorders>
              <w:top w:val="single" w:color="D8DEE7" w:sz="2"/>
              <w:left w:val="single" w:color="D8DEE7" w:sz="2"/>
              <w:bottom w:val="single" w:color="D8DEE7" w:sz="2"/>
              <w:right w:val="single" w:color="D8DEE7" w:sz="2"/>
            </w:tcBorders>
            <w:shd w:fill="F4F6F9" w:color="auto" w:val="clear"/>
            <w:tcMar>
              <w:top w:type="dxa" w:w="100"/>
              <w:left w:type="dxa" w:w="80"/>
              <w:bottom w:type="dxa" w:w="60"/>
              <w:right w:type="dxa" w:w="80"/>
            </w:tcMar>
            <w:vAlign w:val="center"/>
          </w:tcPr>
          <w:p>
            <w:pPr>
              <w:spacing w:after="20"/>
              <w:jc w:val="center"/>
            </w:pPr>
            <w:r>
              <w:rPr>
                <w:rFonts w:ascii="Calibri" w:cs="Calibri" w:eastAsia="Calibri" w:hAnsi="Calibri"/>
                <w:color w:val="1E7A46"/>
                <w:sz w:val="22"/>
                <w:szCs w:val="22"/>
              </w:rPr>
              <w:t xml:space="preserve">●</w:t>
            </w:r>
            <w:r>
              <w:t xml:space="preserve">   </w:t>
            </w:r>
            <w:r>
              <w:rPr>
                <w:rFonts w:ascii="Calibri" w:cs="Calibri" w:eastAsia="Calibri" w:hAnsi="Calibri"/>
                <w:color w:val="B4790A"/>
                <w:sz w:val="22"/>
                <w:szCs w:val="22"/>
              </w:rPr>
              <w:t xml:space="preserve">●</w:t>
            </w:r>
            <w:r>
              <w:t xml:space="preserve">   </w:t>
            </w:r>
            <w:r>
              <w:rPr>
                <w:rFonts w:ascii="Calibri" w:cs="Calibri" w:eastAsia="Calibri" w:hAnsi="Calibri"/>
                <w:color w:val="B23A2E"/>
                <w:sz w:val="22"/>
                <w:szCs w:val="22"/>
              </w:rPr>
              <w:t xml:space="preserve">●</w:t>
            </w:r>
          </w:p>
          <w:p>
            <w:pPr>
              <w:jc w:val="center"/>
            </w:pPr>
            <w:r>
              <w:rPr>
                <w:rFonts w:ascii="Calibri" w:cs="Calibri" w:eastAsia="Calibri" w:hAnsi="Calibri"/>
                <w:i/>
                <w:iCs/>
                <w:color w:val="5B6472"/>
                <w:sz w:val="13"/>
                <w:szCs w:val="13"/>
              </w:rPr>
              <w:t xml:space="preserve">(marcar)</w:t>
            </w:r>
          </w:p>
        </w:tc>
      </w:tr>
    </w:tbl>
    <w:p>
      <w:pPr>
        <w:sectPr>
          <w:headerReference w:type="default" r:id="rId9"/>
          <w:footerReference w:type="default" r:id="rId10"/>
          <w:pgSz w:w="15840" w:h="12240" w:orient="landscape"/>
          <w:pgMar w:top="1440" w:right="720" w:bottom="1440" w:left="720" w:header="708" w:footer="708" w:gutter="0"/>
          <w:pgNumType/>
          <w:docGrid w:linePitch="360"/>
        </w:sectPr>
      </w:pPr>
    </w:p>
    <w:p>
      <w:pPr>
        <w:pBdr>
          <w:bottom w:val="single" w:color="0D78D8" w:sz="10" w:space="6"/>
        </w:pBdr>
        <w:spacing w:after="160" w:before="380"/>
      </w:pPr>
      <w:r>
        <w:rPr>
          <w:rFonts w:ascii="Cambria" w:cs="Cambria" w:eastAsia="Cambria" w:hAnsi="Cambria"/>
          <w:b/>
          <w:bCs/>
          <w:color w:val="0D78D8"/>
          <w:sz w:val="30"/>
          <w:szCs w:val="30"/>
        </w:rPr>
        <w:t xml:space="preserve">4.  </w:t>
      </w:r>
      <w:r>
        <w:rPr>
          <w:rFonts w:ascii="Cambria" w:cs="Cambria" w:eastAsia="Cambria" w:hAnsi="Cambria"/>
          <w:b/>
          <w:bCs/>
          <w:color w:val="03286C"/>
          <w:sz w:val="30"/>
          <w:szCs w:val="30"/>
        </w:rPr>
        <w:t xml:space="preserve">Cómo interpretar la matriz</w:t>
      </w:r>
    </w:p>
    <w:p>
      <w:pPr>
        <w:spacing w:after="160" w:before="0" w:line="300"/>
        <w:jc w:val="both"/>
      </w:pPr>
      <w:r>
        <w:rPr>
          <w:rFonts w:ascii="Calibri" w:cs="Calibri" w:eastAsia="Calibri" w:hAnsi="Calibri"/>
          <w:b w:val="false"/>
          <w:bCs w:val="false"/>
          <w:i w:val="false"/>
          <w:iCs w:val="false"/>
          <w:color w:val="1B1F27"/>
          <w:sz w:val="21"/>
          <w:szCs w:val="21"/>
        </w:rPr>
        <w:t xml:space="preserve">La lógica de la matriz no consiste en sumar puntos de manera mecánica. Lo relevante es identificar con precisión el punto en el que se rompe la historia económica de la operación. Para efectos directivos, la conclusión puede concentrarse en cuatro ejes de análisis: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03286C" w:sz="30"/>
              <w:left w:val="single" w:color="D8DEE7" w:sz="2"/>
              <w:bottom w:val="single" w:color="D8DEE7" w:sz="2"/>
              <w:right w:val="single" w:color="D8DEE7" w:sz="2"/>
            </w:tcBorders>
            <w:shd w:fill="F4F6F9" w:color="auto" w:val="clear"/>
            <w:tcMar>
              <w:top w:type="dxa" w:w="180"/>
              <w:left w:type="dxa" w:w="200"/>
              <w:bottom w:type="dxa" w:w="200"/>
              <w:right w:type="dxa" w:w="200"/>
            </w:tcMar>
            <w:vAlign w:val="top"/>
          </w:tcPr>
          <w:p>
            <w:pPr>
              <w:spacing w:after="90"/>
            </w:pPr>
            <w:r>
              <w:rPr>
                <w:rFonts w:ascii="Cambria" w:cs="Cambria" w:eastAsia="Cambria" w:hAnsi="Cambria"/>
                <w:b/>
                <w:bCs/>
                <w:color w:val="03286C"/>
                <w:sz w:val="21"/>
                <w:szCs w:val="21"/>
              </w:rPr>
              <w:t xml:space="preserve">Razón de negocios</w:t>
            </w:r>
          </w:p>
          <w:p>
            <w:r>
              <w:rPr>
                <w:rFonts w:ascii="Calibri" w:cs="Calibri" w:eastAsia="Calibri" w:hAnsi="Calibri"/>
                <w:i/>
                <w:iCs/>
                <w:color w:val="5B6472"/>
                <w:sz w:val="18"/>
                <w:szCs w:val="18"/>
              </w:rPr>
              <w:t xml:space="preserve">¿Existe un propósito empresarial independiente del beneficio fiscal?</w:t>
            </w:r>
          </w:p>
        </w:tc>
        <w:tc>
          <w:tcPr>
            <w:tcW w:type="dxa" w:w="4675"/>
            <w:tcBorders>
              <w:top w:val="single" w:color="0D78D8" w:sz="30"/>
              <w:left w:val="single" w:color="D8DEE7" w:sz="2"/>
              <w:bottom w:val="single" w:color="D8DEE7" w:sz="2"/>
              <w:right w:val="single" w:color="D8DEE7" w:sz="2"/>
            </w:tcBorders>
            <w:shd w:fill="F4F6F9" w:color="auto" w:val="clear"/>
            <w:tcMar>
              <w:top w:type="dxa" w:w="180"/>
              <w:left w:type="dxa" w:w="200"/>
              <w:bottom w:type="dxa" w:w="200"/>
              <w:right w:type="dxa" w:w="200"/>
            </w:tcMar>
            <w:vAlign w:val="top"/>
          </w:tcPr>
          <w:p>
            <w:pPr>
              <w:spacing w:after="90"/>
            </w:pPr>
            <w:r>
              <w:rPr>
                <w:rFonts w:ascii="Cambria" w:cs="Cambria" w:eastAsia="Cambria" w:hAnsi="Cambria"/>
                <w:b/>
                <w:bCs/>
                <w:color w:val="03286C"/>
                <w:sz w:val="21"/>
                <w:szCs w:val="21"/>
              </w:rPr>
              <w:t xml:space="preserve">Beneficio económico vs. fiscal</w:t>
            </w:r>
          </w:p>
          <w:p>
            <w:r>
              <w:rPr>
                <w:rFonts w:ascii="Calibri" w:cs="Calibri" w:eastAsia="Calibri" w:hAnsi="Calibri"/>
                <w:i/>
                <w:iCs/>
                <w:color w:val="5B6472"/>
                <w:sz w:val="18"/>
                <w:szCs w:val="18"/>
              </w:rPr>
              <w:t xml:space="preserve">¿Podemos explicar y, cuando sea posible, cuantificar ambos?</w:t>
            </w:r>
          </w:p>
        </w:tc>
      </w:tr>
      <w:tr>
        <w:tc>
          <w:tcPr>
            <w:tcW w:type="dxa" w:w="4675"/>
            <w:tcBorders>
              <w:top w:val="single" w:color="0D78D8" w:sz="30"/>
              <w:left w:val="single" w:color="D8DEE7" w:sz="2"/>
              <w:bottom w:val="single" w:color="D8DEE7" w:sz="2"/>
              <w:right w:val="single" w:color="D8DEE7" w:sz="2"/>
            </w:tcBorders>
            <w:shd w:fill="F4F6F9" w:color="auto" w:val="clear"/>
            <w:tcMar>
              <w:top w:type="dxa" w:w="180"/>
              <w:left w:type="dxa" w:w="200"/>
              <w:bottom w:type="dxa" w:w="200"/>
              <w:right w:type="dxa" w:w="200"/>
            </w:tcMar>
            <w:vAlign w:val="top"/>
          </w:tcPr>
          <w:p>
            <w:pPr>
              <w:spacing w:after="90"/>
            </w:pPr>
            <w:r>
              <w:rPr>
                <w:rFonts w:ascii="Cambria" w:cs="Cambria" w:eastAsia="Cambria" w:hAnsi="Cambria"/>
                <w:b/>
                <w:bCs/>
                <w:color w:val="03286C"/>
                <w:sz w:val="21"/>
                <w:szCs w:val="21"/>
              </w:rPr>
              <w:t xml:space="preserve">Sustancia económica</w:t>
            </w:r>
          </w:p>
          <w:p>
            <w:r>
              <w:rPr>
                <w:rFonts w:ascii="Calibri" w:cs="Calibri" w:eastAsia="Calibri" w:hAnsi="Calibri"/>
                <w:i/>
                <w:iCs/>
                <w:color w:val="5B6472"/>
                <w:sz w:val="18"/>
                <w:szCs w:val="18"/>
              </w:rPr>
              <w:t xml:space="preserve">¿Funciones, activos, riesgos y obligaciones corresponden con la realidad?</w:t>
            </w:r>
          </w:p>
        </w:tc>
        <w:tc>
          <w:tcPr>
            <w:tcW w:type="dxa" w:w="4675"/>
            <w:tcBorders>
              <w:top w:val="single" w:color="03286C" w:sz="30"/>
              <w:left w:val="single" w:color="D8DEE7" w:sz="2"/>
              <w:bottom w:val="single" w:color="D8DEE7" w:sz="2"/>
              <w:right w:val="single" w:color="D8DEE7" w:sz="2"/>
            </w:tcBorders>
            <w:shd w:fill="F4F6F9" w:color="auto" w:val="clear"/>
            <w:tcMar>
              <w:top w:type="dxa" w:w="180"/>
              <w:left w:type="dxa" w:w="200"/>
              <w:bottom w:type="dxa" w:w="200"/>
              <w:right w:type="dxa" w:w="200"/>
            </w:tcMar>
            <w:vAlign w:val="top"/>
          </w:tcPr>
          <w:p>
            <w:pPr>
              <w:spacing w:after="90"/>
            </w:pPr>
            <w:r>
              <w:rPr>
                <w:rFonts w:ascii="Cambria" w:cs="Cambria" w:eastAsia="Cambria" w:hAnsi="Cambria"/>
                <w:b/>
                <w:bCs/>
                <w:color w:val="03286C"/>
                <w:sz w:val="21"/>
                <w:szCs w:val="21"/>
              </w:rPr>
              <w:t xml:space="preserve">Congruencia documental</w:t>
            </w:r>
          </w:p>
          <w:p>
            <w:r>
              <w:rPr>
                <w:rFonts w:ascii="Calibri" w:cs="Calibri" w:eastAsia="Calibri" w:hAnsi="Calibri"/>
                <w:i/>
                <w:iCs/>
                <w:color w:val="5B6472"/>
                <w:sz w:val="18"/>
                <w:szCs w:val="18"/>
              </w:rPr>
              <w:t xml:space="preserve">¿Pedimento, contrato, pago, contabilidad, inventarios y proceso productivo cuentan la misma historia?</w:t>
            </w:r>
          </w:p>
        </w:tc>
      </w:tr>
    </w:tbl>
    <w:p>
      <w:pPr>
        <w:spacing w:after="160" w:before="260" w:line="300"/>
        <w:jc w:val="both"/>
      </w:pPr>
      <w:r>
        <w:rPr>
          <w:rFonts w:ascii="Calibri" w:cs="Calibri" w:eastAsia="Calibri" w:hAnsi="Calibri"/>
          <w:b w:val="false"/>
          <w:bCs w:val="false"/>
          <w:i w:val="false"/>
          <w:iCs w:val="false"/>
          <w:color w:val="1B1F27"/>
          <w:sz w:val="21"/>
          <w:szCs w:val="21"/>
        </w:rPr>
        <w:t xml:space="preserve">La presentación fuente de este instrumento plantea, en el mismo sentido, que la operación debe revisarse no únicamente desde el pedimento, sino desde las nueve dimensiones siguientes:</w:t>
      </w:r>
    </w:p>
    <w:tbl>
      <w:tblPr>
        <w:tblW w:type="dxa" w:w="9348"/>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Aduanera</w:t>
            </w:r>
          </w:p>
        </w:tc>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Operativa</w:t>
            </w:r>
          </w:p>
        </w:tc>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Contractual</w:t>
            </w:r>
          </w:p>
        </w:tc>
      </w:tr>
      <w:tr>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Financiera</w:t>
            </w:r>
          </w:p>
        </w:tc>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Contable</w:t>
            </w:r>
          </w:p>
        </w:tc>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Fiscal</w:t>
            </w:r>
          </w:p>
        </w:tc>
      </w:tr>
      <w:tr>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IMMEX</w:t>
            </w:r>
          </w:p>
        </w:tc>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Económica</w:t>
            </w:r>
          </w:p>
        </w:tc>
        <w:tc>
          <w:tcPr>
            <w:tcW w:type="dxa" w:w="3116"/>
            <w:tcBorders>
              <w:top w:val="single" w:color="D8DEE7" w:sz="2"/>
              <w:left w:val="single" w:color="D8DEE7" w:sz="2"/>
              <w:bottom w:val="single" w:color="D8DEE7" w:sz="2"/>
              <w:right w:val="single" w:color="D8DEE7" w:sz="2"/>
            </w:tcBorders>
            <w:shd w:fill="EAF3FC" w:color="auto" w:val="clear"/>
            <w:tcMar>
              <w:top w:type="dxa" w:w="110"/>
              <w:left w:type="dxa" w:w="80"/>
              <w:bottom w:type="dxa" w:w="110"/>
              <w:right w:type="dxa" w:w="80"/>
            </w:tcMar>
            <w:vAlign w:val="center"/>
          </w:tcPr>
          <w:p>
            <w:pPr>
              <w:jc w:val="center"/>
            </w:pPr>
            <w:r>
              <w:rPr>
                <w:rFonts w:ascii="Calibri" w:cs="Calibri" w:eastAsia="Calibri" w:hAnsi="Calibri"/>
                <w:b/>
                <w:bCs/>
                <w:color w:val="03286C"/>
                <w:sz w:val="17"/>
                <w:szCs w:val="17"/>
              </w:rPr>
              <w:t xml:space="preserve">Razón de negocios</w:t>
            </w:r>
          </w:p>
        </w:tc>
      </w:tr>
    </w:tbl>
    <w:p>
      <w:pPr>
        <w:spacing w:after="0" w:before="100"/>
      </w:pPr>
      <w:r>
        <w:rPr>
          <w:rFonts w:ascii="Calibri" w:cs="Calibri" w:eastAsia="Calibri" w:hAnsi="Calibri"/>
          <w:i/>
          <w:iCs/>
          <w:color w:val="5B6472"/>
          <w:sz w:val="14"/>
          <w:szCs w:val="14"/>
        </w:rPr>
        <w:t xml:space="preserve">Fuente: Razón de negocios y sustancia económica en operaciones virtuales V1 (20260824).</w:t>
      </w:r>
    </w:p>
    <w:p>
      <w:pPr>
        <w:pBdr>
          <w:bottom w:val="single" w:color="0D78D8" w:sz="10" w:space="6"/>
        </w:pBdr>
        <w:spacing w:after="160" w:before="380"/>
      </w:pPr>
      <w:r>
        <w:rPr>
          <w:rFonts w:ascii="Cambria" w:cs="Cambria" w:eastAsia="Cambria" w:hAnsi="Cambria"/>
          <w:b/>
          <w:bCs/>
          <w:color w:val="0D78D8"/>
          <w:sz w:val="30"/>
          <w:szCs w:val="30"/>
        </w:rPr>
        <w:t xml:space="preserve">5.  </w:t>
      </w:r>
      <w:r>
        <w:rPr>
          <w:rFonts w:ascii="Cambria" w:cs="Cambria" w:eastAsia="Cambria" w:hAnsi="Cambria"/>
          <w:b/>
          <w:bCs/>
          <w:color w:val="03286C"/>
          <w:sz w:val="30"/>
          <w:szCs w:val="30"/>
        </w:rPr>
        <w:t xml:space="preserve">Cinco preguntas que Dirección no debería dejar sin respuesta</w:t>
      </w:r>
    </w:p>
    <w:p>
      <w:pPr>
        <w:spacing w:after="160" w:before="0" w:line="300"/>
        <w:jc w:val="both"/>
      </w:pPr>
      <w:r>
        <w:rPr>
          <w:rFonts w:ascii="Calibri" w:cs="Calibri" w:eastAsia="Calibri" w:hAnsi="Calibri"/>
          <w:b w:val="false"/>
          <w:bCs w:val="false"/>
          <w:i w:val="false"/>
          <w:iCs w:val="false"/>
          <w:color w:val="1B1F27"/>
          <w:sz w:val="21"/>
          <w:szCs w:val="21"/>
        </w:rPr>
        <w:t xml:space="preserve">La totalidad de la matriz puede sintetizarse, para efectos de un Executive Business Purpose Test, en las cinco preguntas siguientes: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00"/>
        <w:gridCol w:w="8650"/>
      </w:tblGrid>
      <w:tr>
        <w:tc>
          <w:tcPr>
            <w:tcW w:type="dxa" w:w="700"/>
            <w:tcBorders>
              <w:top w:val="none" w:color="FFFFFF" w:sz="0"/>
              <w:left w:val="none" w:color="FFFFFF" w:sz="0"/>
              <w:bottom w:val="none" w:color="FFFFFF" w:sz="0"/>
              <w:right w:val="none" w:color="FFFFFF" w:sz="0"/>
            </w:tcBorders>
            <w:shd w:fill="0D78D8" w:color="auto" w:val="clear"/>
            <w:tcMar>
              <w:top w:type="dxa" w:w="120"/>
              <w:left w:type="dxa" w:w="0"/>
              <w:bottom w:type="dxa" w:w="120"/>
              <w:right w:type="dxa" w:w="0"/>
            </w:tcMar>
            <w:vAlign w:val="center"/>
          </w:tcPr>
          <w:p>
            <w:pPr>
              <w:jc w:val="center"/>
            </w:pPr>
            <w:r>
              <w:rPr>
                <w:rFonts w:ascii="Cambria" w:cs="Cambria" w:eastAsia="Cambria" w:hAnsi="Cambria"/>
                <w:b/>
                <w:bCs/>
                <w:color w:val="FFFFFF"/>
                <w:sz w:val="26"/>
                <w:szCs w:val="26"/>
              </w:rPr>
              <w:t xml:space="preserve">1</w:t>
            </w:r>
          </w:p>
        </w:tc>
        <w:tc>
          <w:tcPr>
            <w:tcW w:type="dxa" w:w="8650"/>
            <w:tcBorders>
              <w:top w:val="single" w:color="FFFFFF" w:sz="0"/>
              <w:left w:val="single" w:color="FFFFFF" w:sz="0"/>
              <w:bottom w:val="single" w:color="D8DEE7" w:sz="4"/>
              <w:right w:val="single" w:color="FFFFFF" w:sz="0"/>
            </w:tcBorders>
            <w:shd w:fill="F4F6F9" w:color="auto" w:val="clear"/>
            <w:tcMar>
              <w:top w:type="dxa" w:w="130"/>
              <w:left w:type="dxa" w:w="220"/>
              <w:bottom w:type="dxa" w:w="130"/>
              <w:right w:type="dxa" w:w="200"/>
            </w:tcMar>
            <w:vAlign w:val="center"/>
          </w:tcPr>
          <w:p>
            <w:pPr>
              <w:spacing w:after="30"/>
            </w:pPr>
            <w:r>
              <w:rPr>
                <w:rFonts w:ascii="Calibri" w:cs="Calibri" w:eastAsia="Calibri" w:hAnsi="Calibri"/>
                <w:b/>
                <w:bCs/>
                <w:color w:val="03286C"/>
                <w:sz w:val="21"/>
                <w:szCs w:val="21"/>
              </w:rPr>
              <w:t xml:space="preserve">¿Por qué existe esta operación?</w:t>
            </w:r>
          </w:p>
          <w:p>
            <w:r>
              <w:rPr>
                <w:rFonts w:ascii="Calibri" w:cs="Calibri" w:eastAsia="Calibri" w:hAnsi="Calibri"/>
                <w:i/>
                <w:iCs/>
                <w:color w:val="5B6472"/>
                <w:sz w:val="18"/>
                <w:szCs w:val="18"/>
              </w:rPr>
              <w:t xml:space="preserve">No “porque siempre se ha hecho así”, sino cuál es su propósito económico concreto.</w:t>
            </w:r>
          </w:p>
        </w:tc>
      </w:tr>
      <w:tr>
        <w:tc>
          <w:tcPr>
            <w:tcW w:type="dxa" w:w="700"/>
            <w:tcBorders>
              <w:top w:val="none" w:color="FFFFFF" w:sz="0"/>
              <w:left w:val="none" w:color="FFFFFF" w:sz="0"/>
              <w:bottom w:val="none" w:color="FFFFFF" w:sz="0"/>
              <w:right w:val="none" w:color="FFFFFF" w:sz="0"/>
            </w:tcBorders>
            <w:shd w:fill="0D78D8" w:color="auto" w:val="clear"/>
            <w:tcMar>
              <w:top w:type="dxa" w:w="120"/>
              <w:left w:type="dxa" w:w="0"/>
              <w:bottom w:type="dxa" w:w="120"/>
              <w:right w:type="dxa" w:w="0"/>
            </w:tcMar>
            <w:vAlign w:val="center"/>
          </w:tcPr>
          <w:p>
            <w:pPr>
              <w:jc w:val="center"/>
            </w:pPr>
            <w:r>
              <w:rPr>
                <w:rFonts w:ascii="Cambria" w:cs="Cambria" w:eastAsia="Cambria" w:hAnsi="Cambria"/>
                <w:b/>
                <w:bCs/>
                <w:color w:val="FFFFFF"/>
                <w:sz w:val="26"/>
                <w:szCs w:val="26"/>
              </w:rPr>
              <w:t xml:space="preserve">2</w:t>
            </w:r>
          </w:p>
        </w:tc>
        <w:tc>
          <w:tcPr>
            <w:tcW w:type="dxa" w:w="8650"/>
            <w:tcBorders>
              <w:top w:val="single" w:color="FFFFFF" w:sz="0"/>
              <w:left w:val="single" w:color="FFFFFF" w:sz="0"/>
              <w:bottom w:val="single" w:color="D8DEE7" w:sz="4"/>
              <w:right w:val="single" w:color="FFFFFF" w:sz="0"/>
            </w:tcBorders>
            <w:shd w:fill="F4F6F9" w:color="auto" w:val="clear"/>
            <w:tcMar>
              <w:top w:type="dxa" w:w="130"/>
              <w:left w:type="dxa" w:w="220"/>
              <w:bottom w:type="dxa" w:w="130"/>
              <w:right w:type="dxa" w:w="200"/>
            </w:tcMar>
            <w:vAlign w:val="center"/>
          </w:tcPr>
          <w:p>
            <w:pPr>
              <w:spacing w:after="30"/>
            </w:pPr>
            <w:r>
              <w:rPr>
                <w:rFonts w:ascii="Calibri" w:cs="Calibri" w:eastAsia="Calibri" w:hAnsi="Calibri"/>
                <w:b/>
                <w:bCs/>
                <w:color w:val="03286C"/>
                <w:sz w:val="21"/>
                <w:szCs w:val="21"/>
              </w:rPr>
              <w:t xml:space="preserve">¿Qué beneficio económico razonablemente esperado genera?</w:t>
            </w:r>
          </w:p>
          <w:p>
            <w:r>
              <w:rPr>
                <w:rFonts w:ascii="Calibri" w:cs="Calibri" w:eastAsia="Calibri" w:hAnsi="Calibri"/>
                <w:i/>
                <w:iCs/>
                <w:color w:val="5B6472"/>
                <w:sz w:val="18"/>
                <w:szCs w:val="18"/>
              </w:rPr>
              <w:t xml:space="preserve">Debe distinguirse claramente del beneficio fiscal.</w:t>
            </w:r>
          </w:p>
        </w:tc>
      </w:tr>
      <w:tr>
        <w:tc>
          <w:tcPr>
            <w:tcW w:type="dxa" w:w="700"/>
            <w:tcBorders>
              <w:top w:val="none" w:color="FFFFFF" w:sz="0"/>
              <w:left w:val="none" w:color="FFFFFF" w:sz="0"/>
              <w:bottom w:val="none" w:color="FFFFFF" w:sz="0"/>
              <w:right w:val="none" w:color="FFFFFF" w:sz="0"/>
            </w:tcBorders>
            <w:shd w:fill="0D78D8" w:color="auto" w:val="clear"/>
            <w:tcMar>
              <w:top w:type="dxa" w:w="120"/>
              <w:left w:type="dxa" w:w="0"/>
              <w:bottom w:type="dxa" w:w="120"/>
              <w:right w:type="dxa" w:w="0"/>
            </w:tcMar>
            <w:vAlign w:val="center"/>
          </w:tcPr>
          <w:p>
            <w:pPr>
              <w:jc w:val="center"/>
            </w:pPr>
            <w:r>
              <w:rPr>
                <w:rFonts w:ascii="Cambria" w:cs="Cambria" w:eastAsia="Cambria" w:hAnsi="Cambria"/>
                <w:b/>
                <w:bCs/>
                <w:color w:val="FFFFFF"/>
                <w:sz w:val="26"/>
                <w:szCs w:val="26"/>
              </w:rPr>
              <w:t xml:space="preserve">3</w:t>
            </w:r>
          </w:p>
        </w:tc>
        <w:tc>
          <w:tcPr>
            <w:tcW w:type="dxa" w:w="8650"/>
            <w:tcBorders>
              <w:top w:val="single" w:color="FFFFFF" w:sz="0"/>
              <w:left w:val="single" w:color="FFFFFF" w:sz="0"/>
              <w:bottom w:val="single" w:color="D8DEE7" w:sz="4"/>
              <w:right w:val="single" w:color="FFFFFF" w:sz="0"/>
            </w:tcBorders>
            <w:shd w:fill="F4F6F9" w:color="auto" w:val="clear"/>
            <w:tcMar>
              <w:top w:type="dxa" w:w="130"/>
              <w:left w:type="dxa" w:w="220"/>
              <w:bottom w:type="dxa" w:w="130"/>
              <w:right w:type="dxa" w:w="200"/>
            </w:tcMar>
            <w:vAlign w:val="center"/>
          </w:tcPr>
          <w:p>
            <w:pPr>
              <w:spacing w:after="30"/>
            </w:pPr>
            <w:r>
              <w:rPr>
                <w:rFonts w:ascii="Calibri" w:cs="Calibri" w:eastAsia="Calibri" w:hAnsi="Calibri"/>
                <w:b/>
                <w:bCs/>
                <w:color w:val="03286C"/>
                <w:sz w:val="21"/>
                <w:szCs w:val="21"/>
              </w:rPr>
              <w:t xml:space="preserve">¿Qué beneficio fiscal produce?</w:t>
            </w:r>
          </w:p>
          <w:p>
            <w:r>
              <w:rPr>
                <w:rFonts w:ascii="Calibri" w:cs="Calibri" w:eastAsia="Calibri" w:hAnsi="Calibri"/>
                <w:i/>
                <w:iCs/>
                <w:color w:val="5B6472"/>
                <w:sz w:val="18"/>
                <w:szCs w:val="18"/>
              </w:rPr>
              <w:t xml:space="preserve">Debe identificarse expresamente, no ignorarse.</w:t>
            </w:r>
          </w:p>
        </w:tc>
      </w:tr>
      <w:tr>
        <w:tc>
          <w:tcPr>
            <w:tcW w:type="dxa" w:w="700"/>
            <w:tcBorders>
              <w:top w:val="none" w:color="FFFFFF" w:sz="0"/>
              <w:left w:val="none" w:color="FFFFFF" w:sz="0"/>
              <w:bottom w:val="none" w:color="FFFFFF" w:sz="0"/>
              <w:right w:val="none" w:color="FFFFFF" w:sz="0"/>
            </w:tcBorders>
            <w:shd w:fill="0D78D8" w:color="auto" w:val="clear"/>
            <w:tcMar>
              <w:top w:type="dxa" w:w="120"/>
              <w:left w:type="dxa" w:w="0"/>
              <w:bottom w:type="dxa" w:w="120"/>
              <w:right w:type="dxa" w:w="0"/>
            </w:tcMar>
            <w:vAlign w:val="center"/>
          </w:tcPr>
          <w:p>
            <w:pPr>
              <w:jc w:val="center"/>
            </w:pPr>
            <w:r>
              <w:rPr>
                <w:rFonts w:ascii="Cambria" w:cs="Cambria" w:eastAsia="Cambria" w:hAnsi="Cambria"/>
                <w:b/>
                <w:bCs/>
                <w:color w:val="FFFFFF"/>
                <w:sz w:val="26"/>
                <w:szCs w:val="26"/>
              </w:rPr>
              <w:t xml:space="preserve">4</w:t>
            </w:r>
          </w:p>
        </w:tc>
        <w:tc>
          <w:tcPr>
            <w:tcW w:type="dxa" w:w="8650"/>
            <w:tcBorders>
              <w:top w:val="single" w:color="FFFFFF" w:sz="0"/>
              <w:left w:val="single" w:color="FFFFFF" w:sz="0"/>
              <w:bottom w:val="single" w:color="D8DEE7" w:sz="4"/>
              <w:right w:val="single" w:color="FFFFFF" w:sz="0"/>
            </w:tcBorders>
            <w:shd w:fill="F4F6F9" w:color="auto" w:val="clear"/>
            <w:tcMar>
              <w:top w:type="dxa" w:w="130"/>
              <w:left w:type="dxa" w:w="220"/>
              <w:bottom w:type="dxa" w:w="130"/>
              <w:right w:type="dxa" w:w="200"/>
            </w:tcMar>
            <w:vAlign w:val="center"/>
          </w:tcPr>
          <w:p>
            <w:pPr>
              <w:spacing w:after="30"/>
            </w:pPr>
            <w:r>
              <w:rPr>
                <w:rFonts w:ascii="Calibri" w:cs="Calibri" w:eastAsia="Calibri" w:hAnsi="Calibri"/>
                <w:b/>
                <w:bCs/>
                <w:color w:val="03286C"/>
                <w:sz w:val="21"/>
                <w:szCs w:val="21"/>
              </w:rPr>
              <w:t xml:space="preserve">¿Por qué participa cada entidad?</w:t>
            </w:r>
          </w:p>
          <w:p>
            <w:r>
              <w:rPr>
                <w:rFonts w:ascii="Calibri" w:cs="Calibri" w:eastAsia="Calibri" w:hAnsi="Calibri"/>
                <w:i/>
                <w:iCs/>
                <w:color w:val="5B6472"/>
                <w:sz w:val="18"/>
                <w:szCs w:val="18"/>
              </w:rPr>
              <w:t xml:space="preserve">Cada participante debe tener una función empresarial reconocible.</w:t>
            </w:r>
          </w:p>
        </w:tc>
      </w:tr>
      <w:tr>
        <w:tc>
          <w:tcPr>
            <w:tcW w:type="dxa" w:w="700"/>
            <w:tcBorders>
              <w:top w:val="none" w:color="FFFFFF" w:sz="0"/>
              <w:left w:val="none" w:color="FFFFFF" w:sz="0"/>
              <w:bottom w:val="none" w:color="FFFFFF" w:sz="0"/>
              <w:right w:val="none" w:color="FFFFFF" w:sz="0"/>
            </w:tcBorders>
            <w:shd w:fill="0D78D8" w:color="auto" w:val="clear"/>
            <w:tcMar>
              <w:top w:type="dxa" w:w="120"/>
              <w:left w:type="dxa" w:w="0"/>
              <w:bottom w:type="dxa" w:w="120"/>
              <w:right w:type="dxa" w:w="0"/>
            </w:tcMar>
            <w:vAlign w:val="center"/>
          </w:tcPr>
          <w:p>
            <w:pPr>
              <w:jc w:val="center"/>
            </w:pPr>
            <w:r>
              <w:rPr>
                <w:rFonts w:ascii="Cambria" w:cs="Cambria" w:eastAsia="Cambria" w:hAnsi="Cambria"/>
                <w:b/>
                <w:bCs/>
                <w:color w:val="FFFFFF"/>
                <w:sz w:val="26"/>
                <w:szCs w:val="26"/>
              </w:rPr>
              <w:t xml:space="preserve">5</w:t>
            </w:r>
          </w:p>
        </w:tc>
        <w:tc>
          <w:tcPr>
            <w:tcW w:type="dxa" w:w="8650"/>
            <w:tcBorders>
              <w:top w:val="single" w:color="FFFFFF" w:sz="0"/>
              <w:left w:val="single" w:color="FFFFFF" w:sz="0"/>
              <w:bottom w:val="single" w:color="FFFFFF" w:sz="0"/>
              <w:right w:val="single" w:color="FFFFFF" w:sz="0"/>
            </w:tcBorders>
            <w:shd w:fill="F4F6F9" w:color="auto" w:val="clear"/>
            <w:tcMar>
              <w:top w:type="dxa" w:w="130"/>
              <w:left w:type="dxa" w:w="220"/>
              <w:bottom w:type="dxa" w:w="130"/>
              <w:right w:type="dxa" w:w="200"/>
            </w:tcMar>
            <w:vAlign w:val="center"/>
          </w:tcPr>
          <w:p>
            <w:pPr>
              <w:spacing w:after="30"/>
            </w:pPr>
            <w:r>
              <w:rPr>
                <w:rFonts w:ascii="Calibri" w:cs="Calibri" w:eastAsia="Calibri" w:hAnsi="Calibri"/>
                <w:b/>
                <w:bCs/>
                <w:color w:val="03286C"/>
                <w:sz w:val="21"/>
                <w:szCs w:val="21"/>
              </w:rPr>
              <w:t xml:space="preserve">¿Todos los documentos y registros cuentan la misma historia?</w:t>
            </w:r>
          </w:p>
          <w:p>
            <w:r>
              <w:rPr>
                <w:rFonts w:ascii="Calibri" w:cs="Calibri" w:eastAsia="Calibri" w:hAnsi="Calibri"/>
                <w:i/>
                <w:iCs/>
                <w:color w:val="5B6472"/>
                <w:sz w:val="18"/>
                <w:szCs w:val="18"/>
              </w:rPr>
              <w:t xml:space="preserve">Contrato, pedimento, CFDI, pago, ERP, contabilidad, Anexo 24, inventario y proceso productivo.</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D8DEE7" w:sz="4"/>
              <w:left w:val="single" w:color="B4790A" w:sz="28"/>
              <w:bottom w:val="single" w:color="D8DEE7" w:sz="4"/>
              <w:right w:val="single" w:color="D8DEE7" w:sz="4"/>
            </w:tcBorders>
            <w:shd w:fill="FDF3E1" w:color="auto" w:val="clear"/>
            <w:tcMar>
              <w:top w:type="dxa" w:w="160"/>
              <w:left w:type="dxa" w:w="220"/>
              <w:bottom w:type="dxa" w:w="160"/>
              <w:right w:type="dxa" w:w="220"/>
            </w:tcMar>
          </w:tcPr>
          <w:p>
            <w:r>
              <w:rPr>
                <w:rFonts w:ascii="Calibri" w:cs="Calibri" w:eastAsia="Calibri" w:hAnsi="Calibri"/>
                <w:b/>
                <w:bCs/>
                <w:color w:val="B4790A"/>
                <w:sz w:val="19"/>
                <w:szCs w:val="19"/>
              </w:rPr>
              <w:t xml:space="preserve">Señal de alerta.  </w:t>
            </w:r>
            <w:r>
              <w:rPr>
                <w:rFonts w:ascii="Calibri" w:cs="Calibri" w:eastAsia="Calibri" w:hAnsi="Calibri"/>
                <w:color w:val="1B1F27"/>
                <w:sz w:val="19"/>
                <w:szCs w:val="19"/>
              </w:rPr>
              <w:t xml:space="preserve">Si alguna de estas cinco preguntas produce como respuesta “no sé”, “siempre lo hemos hecho así” o “eso lo ve el agente aduanal”, dicha respuesta debe tratarse como una señal clara para profundizar la revisión.</w:t>
            </w:r>
          </w:p>
        </w:tc>
      </w:tr>
    </w:tbl>
    <w:p>
      <w:pPr>
        <w:pBdr>
          <w:bottom w:val="single" w:color="0D78D8" w:sz="10" w:space="6"/>
        </w:pBdr>
        <w:spacing w:after="160" w:before="380"/>
      </w:pPr>
      <w:r>
        <w:rPr>
          <w:rFonts w:ascii="Cambria" w:cs="Cambria" w:eastAsia="Cambria" w:hAnsi="Cambria"/>
          <w:b/>
          <w:bCs/>
          <w:color w:val="0D78D8"/>
          <w:sz w:val="30"/>
          <w:szCs w:val="30"/>
        </w:rPr>
        <w:t xml:space="preserve">6.  </w:t>
      </w:r>
      <w:r>
        <w:rPr>
          <w:rFonts w:ascii="Cambria" w:cs="Cambria" w:eastAsia="Cambria" w:hAnsi="Cambria"/>
          <w:b/>
          <w:bCs/>
          <w:color w:val="03286C"/>
          <w:sz w:val="30"/>
          <w:szCs w:val="30"/>
        </w:rPr>
        <w:t xml:space="preserve">Precisión normativa sobre el artículo 5-A del CFF</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D8DEE7" w:sz="4"/>
              <w:left w:val="single" w:color="0D78D8" w:sz="30"/>
              <w:bottom w:val="single" w:color="D8DEE7" w:sz="4"/>
              <w:right w:val="single" w:color="D8DEE7" w:sz="4"/>
            </w:tcBorders>
            <w:shd w:fill="EAF3FC" w:color="auto" w:val="clear"/>
            <w:tcMar>
              <w:top w:type="dxa" w:w="160"/>
              <w:left w:type="dxa" w:w="220"/>
              <w:bottom w:type="dxa" w:w="160"/>
              <w:right w:type="dxa" w:w="220"/>
            </w:tcMar>
          </w:tcPr>
          <w:p>
            <w:pPr>
              <w:spacing w:after="140"/>
              <w:jc w:val="both"/>
            </w:pPr>
            <w:r>
              <w:rPr>
                <w:rFonts w:ascii="Calibri" w:cs="Calibri" w:eastAsia="Calibri" w:hAnsi="Calibri"/>
                <w:color w:val="1B1F27"/>
                <w:sz w:val="20"/>
                <w:szCs w:val="20"/>
              </w:rPr>
              <w:t xml:space="preserve">La matriz debe utilizarse con una precisión normativa importante: un beneficio fiscal no invalida, por sí mismo, una operación. El artículo 5-A del Código Fiscal de la Federación exige la concurrencia de dos elementos: la ausencia de razón de negocios y la existencia de un beneficio fiscal. Esta lógica es acumulativa, no alternativa.</w:t>
            </w:r>
          </w:p>
          <w:p>
            <w:pPr>
              <w:spacing w:after="100"/>
              <w:jc w:val="center"/>
            </w:pPr>
            <w:r>
              <w:rPr>
                <w:rFonts w:ascii="Cambria" w:cs="Cambria" w:eastAsia="Cambria" w:hAnsi="Cambria"/>
                <w:b/>
                <w:bCs/>
                <w:i/>
                <w:iCs/>
                <w:color w:val="03286C"/>
                <w:sz w:val="21"/>
                <w:szCs w:val="21"/>
              </w:rPr>
              <w:t xml:space="preserve">“La pregunta relevante no es si existe ahorro fiscal, sino si existe además una razón empresarial verificable que explique por qué se estructuró la operación de esa manera.”</w:t>
            </w:r>
          </w:p>
          <w:p>
            <w:r>
              <w:rPr>
                <w:rFonts w:ascii="Calibri" w:cs="Calibri" w:eastAsia="Calibri" w:hAnsi="Calibri"/>
                <w:i/>
                <w:iCs/>
                <w:color w:val="5B6472"/>
                <w:sz w:val="14"/>
                <w:szCs w:val="14"/>
              </w:rPr>
              <w:t xml:space="preserve">Fuente: Razón de negocios y sustancia económica en operaciones virtuales V1 (20260824).</w:t>
            </w:r>
          </w:p>
        </w:tc>
      </w:tr>
    </w:tbl>
    <w:p>
      <w:pPr>
        <w:pBdr>
          <w:bottom w:val="single" w:color="0D78D8" w:sz="10" w:space="6"/>
        </w:pBdr>
        <w:spacing w:after="160" w:before="380"/>
      </w:pPr>
      <w:r>
        <w:rPr>
          <w:rFonts w:ascii="Cambria" w:cs="Cambria" w:eastAsia="Cambria" w:hAnsi="Cambria"/>
          <w:b/>
          <w:bCs/>
          <w:color w:val="0D78D8"/>
          <w:sz w:val="30"/>
          <w:szCs w:val="30"/>
        </w:rPr>
        <w:t xml:space="preserve">7.  </w:t>
      </w:r>
      <w:r>
        <w:rPr>
          <w:rFonts w:ascii="Cambria" w:cs="Cambria" w:eastAsia="Cambria" w:hAnsi="Cambria"/>
          <w:b/>
          <w:bCs/>
          <w:color w:val="03286C"/>
          <w:sz w:val="30"/>
          <w:szCs w:val="30"/>
        </w:rPr>
        <w:t xml:space="preserve">Resultado ejecutivo sugerido</w:t>
      </w:r>
    </w:p>
    <w:p>
      <w:pPr>
        <w:spacing w:after="160" w:before="0" w:line="300"/>
        <w:jc w:val="both"/>
      </w:pPr>
      <w:r>
        <w:rPr>
          <w:rFonts w:ascii="Calibri" w:cs="Calibri" w:eastAsia="Calibri" w:hAnsi="Calibri"/>
          <w:b w:val="false"/>
          <w:bCs w:val="false"/>
          <w:i w:val="false"/>
          <w:iCs w:val="false"/>
          <w:color w:val="1B1F27"/>
          <w:sz w:val="21"/>
          <w:szCs w:val="21"/>
        </w:rPr>
        <w:t xml:space="preserve">Al concluir la revisión de cada operación virtual, se sugiere emitir un resultado ejecutivo de una sola página, conforme a alguno de los tres escenarios siguientes: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D8DEE7" w:sz="4"/>
              <w:left w:val="single" w:color="1E7A46" w:sz="34"/>
              <w:bottom w:val="single" w:color="D8DEE7" w:sz="4"/>
              <w:right w:val="single" w:color="D8DEE7" w:sz="4"/>
            </w:tcBorders>
            <w:shd w:fill="E7F5EC" w:color="auto" w:val="clear"/>
            <w:tcMar>
              <w:top w:type="dxa" w:w="160"/>
              <w:left w:type="dxa" w:w="220"/>
              <w:bottom w:type="dxa" w:w="160"/>
              <w:right w:type="dxa" w:w="220"/>
            </w:tcMar>
          </w:tcPr>
          <w:p>
            <w:pPr>
              <w:spacing w:after="50"/>
            </w:pPr>
            <w:r>
              <w:rPr>
                <w:rFonts w:ascii="Calibri" w:cs="Calibri" w:eastAsia="Calibri" w:hAnsi="Calibri"/>
                <w:color w:val="1E7A46"/>
                <w:sz w:val="22"/>
                <w:szCs w:val="22"/>
              </w:rPr>
              <w:t xml:space="preserve">●</w:t>
            </w:r>
            <w:r>
              <w:rPr>
                <w:rFonts w:ascii="Cambria" w:cs="Cambria" w:eastAsia="Cambria" w:hAnsi="Cambria"/>
                <w:b/>
                <w:bCs/>
                <w:color w:val="1E7A46"/>
                <w:sz w:val="21"/>
                <w:szCs w:val="21"/>
              </w:rPr>
              <w:t xml:space="preserve">  MODELO RAZONABLEMENTE SUSTENTADO</w:t>
            </w:r>
          </w:p>
          <w:p>
            <w:pPr>
              <w:jc w:val="both"/>
            </w:pPr>
            <w:r>
              <w:rPr>
                <w:rFonts w:ascii="Calibri" w:cs="Calibri" w:eastAsia="Calibri" w:hAnsi="Calibri"/>
                <w:color w:val="1B1F27"/>
                <w:sz w:val="19"/>
                <w:szCs w:val="19"/>
              </w:rPr>
              <w:t xml:space="preserve">Existe propósito económico, funciones identificables, congruencia documental y evidencia contemporánea.</w:t>
            </w:r>
          </w:p>
        </w:tc>
      </w:tr>
    </w:tbl>
    <w:p>
      <w:pPr>
        <w:spacing w:after="200"/>
      </w:pPr>
      <w:r>
        <w:rPr>
          <w:sz w:val="2"/>
          <w:szCs w:val="2"/>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D8DEE7" w:sz="4"/>
              <w:left w:val="single" w:color="B4790A" w:sz="34"/>
              <w:bottom w:val="single" w:color="D8DEE7" w:sz="4"/>
              <w:right w:val="single" w:color="D8DEE7" w:sz="4"/>
            </w:tcBorders>
            <w:shd w:fill="FDF3E1" w:color="auto" w:val="clear"/>
            <w:tcMar>
              <w:top w:type="dxa" w:w="160"/>
              <w:left w:type="dxa" w:w="220"/>
              <w:bottom w:type="dxa" w:w="160"/>
              <w:right w:type="dxa" w:w="220"/>
            </w:tcMar>
          </w:tcPr>
          <w:p>
            <w:pPr>
              <w:spacing w:after="50"/>
            </w:pPr>
            <w:r>
              <w:rPr>
                <w:rFonts w:ascii="Calibri" w:cs="Calibri" w:eastAsia="Calibri" w:hAnsi="Calibri"/>
                <w:color w:val="B4790A"/>
                <w:sz w:val="22"/>
                <w:szCs w:val="22"/>
              </w:rPr>
              <w:t xml:space="preserve">●</w:t>
            </w:r>
            <w:r>
              <w:rPr>
                <w:rFonts w:ascii="Cambria" w:cs="Cambria" w:eastAsia="Cambria" w:hAnsi="Cambria"/>
                <w:b/>
                <w:bCs/>
                <w:color w:val="B4790A"/>
                <w:sz w:val="21"/>
                <w:szCs w:val="21"/>
              </w:rPr>
              <w:t xml:space="preserve">  MODELO QUE REQUIERE FORTALECIMIENTO</w:t>
            </w:r>
          </w:p>
          <w:p>
            <w:pPr>
              <w:jc w:val="both"/>
            </w:pPr>
            <w:r>
              <w:rPr>
                <w:rFonts w:ascii="Calibri" w:cs="Calibri" w:eastAsia="Calibri" w:hAnsi="Calibri"/>
                <w:color w:val="1B1F27"/>
                <w:sz w:val="19"/>
                <w:szCs w:val="19"/>
              </w:rPr>
              <w:t xml:space="preserve">La lógica económica existe, pero la documentación, la trazabilidad o la explicación de alguna entidad debe robustecerse.</w:t>
            </w:r>
          </w:p>
        </w:tc>
      </w:tr>
    </w:tbl>
    <w:p>
      <w:pPr>
        <w:spacing w:after="200"/>
      </w:pPr>
      <w:r>
        <w:rPr>
          <w:sz w:val="2"/>
          <w:szCs w:val="2"/>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D8DEE7" w:sz="4"/>
              <w:left w:val="single" w:color="B23A2E" w:sz="34"/>
              <w:bottom w:val="single" w:color="D8DEE7" w:sz="4"/>
              <w:right w:val="single" w:color="D8DEE7" w:sz="4"/>
            </w:tcBorders>
            <w:shd w:fill="FBEAE8" w:color="auto" w:val="clear"/>
            <w:tcMar>
              <w:top w:type="dxa" w:w="160"/>
              <w:left w:type="dxa" w:w="220"/>
              <w:bottom w:type="dxa" w:w="160"/>
              <w:right w:type="dxa" w:w="220"/>
            </w:tcMar>
          </w:tcPr>
          <w:p>
            <w:pPr>
              <w:spacing w:after="50"/>
            </w:pPr>
            <w:r>
              <w:rPr>
                <w:rFonts w:ascii="Calibri" w:cs="Calibri" w:eastAsia="Calibri" w:hAnsi="Calibri"/>
                <w:color w:val="B23A2E"/>
                <w:sz w:val="22"/>
                <w:szCs w:val="22"/>
              </w:rPr>
              <w:t xml:space="preserve">●</w:t>
            </w:r>
            <w:r>
              <w:rPr>
                <w:rFonts w:ascii="Cambria" w:cs="Cambria" w:eastAsia="Cambria" w:hAnsi="Cambria"/>
                <w:b/>
                <w:bCs/>
                <w:color w:val="B23A2E"/>
                <w:sz w:val="21"/>
                <w:szCs w:val="21"/>
              </w:rPr>
              <w:t xml:space="preserve">  MODELO QUE REQUIERE REVISIÓN ESPECIALIZADA</w:t>
            </w:r>
          </w:p>
          <w:p>
            <w:pPr>
              <w:jc w:val="both"/>
            </w:pPr>
            <w:r>
              <w:rPr>
                <w:rFonts w:ascii="Calibri" w:cs="Calibri" w:eastAsia="Calibri" w:hAnsi="Calibri"/>
                <w:color w:val="1B1F27"/>
                <w:sz w:val="19"/>
                <w:szCs w:val="19"/>
              </w:rPr>
              <w:t xml:space="preserve">El beneficio fiscal aparece como principal explicación, existen entidades sin función económica clara o hay contradicciones relevantes entre la realidad operativa y la documentación.</w:t>
            </w:r>
          </w:p>
        </w:tc>
      </w:tr>
    </w:tbl>
    <w:p>
      <w:pPr>
        <w:pBdr>
          <w:bottom w:val="single" w:color="0D78D8" w:sz="10" w:space="6"/>
        </w:pBdr>
        <w:spacing w:after="160" w:before="380"/>
      </w:pPr>
      <w:r>
        <w:rPr>
          <w:rFonts w:ascii="Cambria" w:cs="Cambria" w:eastAsia="Cambria" w:hAnsi="Cambria"/>
          <w:b/>
          <w:bCs/>
          <w:color w:val="0D78D8"/>
          <w:sz w:val="30"/>
          <w:szCs w:val="30"/>
        </w:rPr>
        <w:t xml:space="preserve">8.  </w:t>
      </w:r>
      <w:r>
        <w:rPr>
          <w:rFonts w:ascii="Cambria" w:cs="Cambria" w:eastAsia="Cambria" w:hAnsi="Cambria"/>
          <w:b/>
          <w:bCs/>
          <w:color w:val="03286C"/>
          <w:sz w:val="30"/>
          <w:szCs w:val="30"/>
        </w:rPr>
        <w:t xml:space="preserve">Advertencia preventiva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D8DEE7" w:sz="4"/>
              <w:left w:val="single" w:color="D8DEE7" w:sz="4"/>
              <w:bottom w:val="single" w:color="D8DEE7" w:sz="4"/>
              <w:right w:val="single" w:color="D8DEE7" w:sz="4"/>
            </w:tcBorders>
            <w:shd w:fill="F4F6F9" w:color="auto" w:val="clear"/>
            <w:tcMar>
              <w:top w:type="dxa" w:w="160"/>
              <w:left w:type="dxa" w:w="220"/>
              <w:bottom w:type="dxa" w:w="160"/>
              <w:right w:type="dxa" w:w="220"/>
            </w:tcMar>
          </w:tcPr>
          <w:p>
            <w:pPr>
              <w:spacing w:after="140"/>
              <w:jc w:val="both"/>
            </w:pPr>
            <w:r>
              <w:rPr>
                <w:rFonts w:ascii="Calibri" w:cs="Calibri" w:eastAsia="Calibri" w:hAnsi="Calibri"/>
                <w:b/>
                <w:bCs/>
                <w:color w:val="03286C"/>
                <w:sz w:val="18"/>
                <w:szCs w:val="18"/>
              </w:rPr>
              <w:t xml:space="preserve">Advertencia.  </w:t>
            </w:r>
            <w:r>
              <w:rPr>
                <w:rFonts w:ascii="Calibri" w:cs="Calibri" w:eastAsia="Calibri" w:hAnsi="Calibri"/>
                <w:i/>
                <w:iCs/>
                <w:color w:val="5B6472"/>
                <w:sz w:val="18"/>
                <w:szCs w:val="18"/>
              </w:rPr>
              <w:t xml:space="preserve">Esta matriz constituye una herramienta preliminar de autoevaluación y gestión preventiva de riesgos. No constituye, por sí misma, un dictamen sobre la existencia o inexistencia de razón de negocios, ni sustituye el análisis jurídico, fiscal, contable y aduanero particular de cada operación.</w:t>
            </w:r>
          </w:p>
          <w:p>
            <w:pPr>
              <w:jc w:val="both"/>
            </w:pPr>
            <w:r>
              <w:rPr>
                <w:rFonts w:ascii="Calibri" w:cs="Calibri" w:eastAsia="Calibri" w:hAnsi="Calibri"/>
                <w:i/>
                <w:iCs/>
                <w:color w:val="5B6472"/>
                <w:sz w:val="18"/>
                <w:szCs w:val="18"/>
              </w:rPr>
              <w:t xml:space="preserve">Un resultado amarillo o rojo no implica automáticamente incumplimiento, así como un resultado verde tampoco determina de manera concluyente la procedencia fiscal o aduanera de la estructura. Cada modelo debe analizarse considerando sus hechos, contratos, participantes, tratamiento fiscal, documentación contemporánea y marco normativo vigente.</w:t>
            </w:r>
          </w:p>
        </w:tc>
      </w:tr>
    </w:tbl>
    <w:p>
      <w:pPr>
        <w:pBdr>
          <w:top w:val="single" w:color="0D78D8" w:sz="10" w:space="10"/>
        </w:pBdr>
        <w:spacing w:after="200" w:before="500"/>
      </w:pPr>
      <w:r>
        <w:t xml:space="preserve"/>
      </w:r>
    </w:p>
    <w:p>
      <w:pPr>
        <w:spacing w:after="320" w:before="0" w:line="300"/>
        <w:jc w:val="both"/>
      </w:pPr>
      <w:r>
        <w:rPr>
          <w:rFonts w:ascii="Calibri" w:cs="Calibri" w:eastAsia="Calibri" w:hAnsi="Calibri"/>
          <w:b w:val="false"/>
          <w:bCs w:val="false"/>
          <w:i w:val="false"/>
          <w:iCs w:val="false"/>
          <w:color w:val="1B1F27"/>
          <w:sz w:val="21"/>
          <w:szCs w:val="21"/>
        </w:rPr>
        <w:t xml:space="preserve">TradeLaw Advisors by FAS está disponible para acompañar a las Compañías en la revisión particular de sus modelos de operaciones virtuales, la evaluación de razón de negocios y la integración de su Business Purpose File / Expediente Maestro V1.</w:t>
      </w:r>
    </w:p>
    <w:p>
      <w:pPr>
        <w:spacing w:after="20"/>
      </w:pPr>
      <w:r>
        <w:rPr>
          <w:rFonts w:ascii="Cambria" w:cs="Cambria" w:eastAsia="Cambria" w:hAnsi="Cambria"/>
          <w:b/>
          <w:bCs/>
          <w:color w:val="03286C"/>
          <w:sz w:val="26"/>
          <w:szCs w:val="26"/>
        </w:rPr>
        <w:t xml:space="preserve">Ignacio Javier Yáñez Porcayo</w:t>
      </w:r>
    </w:p>
    <w:p>
      <w:pPr>
        <w:spacing w:after="20"/>
      </w:pPr>
      <w:r>
        <w:rPr>
          <w:rFonts w:ascii="Calibri" w:cs="Calibri" w:eastAsia="Calibri" w:hAnsi="Calibri"/>
          <w:b/>
          <w:bCs/>
          <w:color w:val="0D78D8"/>
          <w:sz w:val="20"/>
          <w:szCs w:val="20"/>
        </w:rPr>
        <w:t xml:space="preserve">TradeLaw Advisor by FAS  |  Socio</w:t>
      </w:r>
    </w:p>
    <w:p>
      <w:pPr>
        <w:spacing w:after="140"/>
      </w:pPr>
      <w:r>
        <w:rPr>
          <w:rFonts w:ascii="Calibri" w:cs="Calibri" w:eastAsia="Calibri" w:hAnsi="Calibri"/>
          <w:i/>
          <w:iCs/>
          <w:color w:val="5B6472"/>
          <w:sz w:val="19"/>
          <w:szCs w:val="19"/>
        </w:rPr>
        <w:t xml:space="preserve">Especialista en cumplimiento fiscal con enfoque aduanero y de comercio exterior</w:t>
      </w:r>
    </w:p>
    <w:p>
      <w:pPr>
        <w:spacing w:after="40"/>
      </w:pPr>
      <w:r>
        <w:rPr>
          <w:rFonts w:ascii="Calibri" w:cs="Calibri" w:eastAsia="Calibri" w:hAnsi="Calibri"/>
          <w:b/>
          <w:bCs/>
          <w:color w:val="03286C"/>
          <w:sz w:val="19"/>
          <w:szCs w:val="19"/>
        </w:rPr>
        <w:t xml:space="preserve">Tel:  </w:t>
      </w:r>
      <w:r>
        <w:rPr>
          <w:rFonts w:ascii="Calibri" w:cs="Calibri" w:eastAsia="Calibri" w:hAnsi="Calibri"/>
          <w:color w:val="1B1F27"/>
          <w:sz w:val="19"/>
          <w:szCs w:val="19"/>
        </w:rPr>
        <w:t xml:space="preserve">222 708 8099</w:t>
      </w:r>
    </w:p>
    <w:p>
      <w:pPr>
        <w:spacing w:after="0"/>
      </w:pPr>
      <w:r>
        <w:rPr>
          <w:rFonts w:ascii="Calibri" w:cs="Calibri" w:eastAsia="Calibri" w:hAnsi="Calibri"/>
          <w:b/>
          <w:bCs/>
          <w:color w:val="03286C"/>
          <w:sz w:val="19"/>
          <w:szCs w:val="19"/>
        </w:rPr>
        <w:t xml:space="preserve">Email:  </w:t>
      </w:r>
      <w:r>
        <w:rPr>
          <w:rFonts w:ascii="Calibri" w:cs="Calibri" w:eastAsia="Calibri" w:hAnsi="Calibri"/>
          <w:color w:val="1B1F27"/>
          <w:sz w:val="19"/>
          <w:szCs w:val="19"/>
        </w:rPr>
        <w:t xml:space="preserve">ignacio.yanez@tradelawadvisor.mx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3286C" w:color="auto" w:val="clear"/>
            <w:tcMar>
              <w:top w:type="dxa" w:w="420"/>
              <w:left w:type="dxa" w:w="500"/>
              <w:bottom w:type="dxa" w:w="420"/>
              <w:right w:type="dxa" w:w="500"/>
            </w:tcMar>
          </w:tcPr>
          <w:p>
            <w:pPr>
              <w:spacing w:after="200" w:before="260"/>
              <w:jc w:val="center"/>
            </w:pPr>
            <w:r>
              <w:rPr>
                <w:rFonts w:ascii="Cambria" w:cs="Cambria" w:eastAsia="Cambria" w:hAnsi="Cambria"/>
                <w:b/>
                <w:bCs/>
                <w:color w:val="FFFFFF"/>
                <w:sz w:val="26"/>
                <w:szCs w:val="26"/>
              </w:rPr>
              <w:t xml:space="preserve">¿SU COMPAÑÍA ENFRENTA UN RETO FISCAL O ADUANERO?</w:t>
            </w:r>
          </w:p>
          <w:p>
            <w:pPr>
              <w:spacing w:after="260"/>
              <w:jc w:val="center"/>
            </w:pPr>
            <w:r>
              <w:rPr>
                <w:rFonts w:ascii="Calibri" w:cs="Calibri" w:eastAsia="Calibri" w:hAnsi="Calibri"/>
                <w:color w:val="FFFFFF"/>
                <w:sz w:val="20"/>
                <w:szCs w:val="20"/>
              </w:rPr>
              <w:t xml:space="preserve">Nuestro equipo está listo para acompañarla.</w:t>
            </w:r>
          </w:p>
          <w:p>
            <w:pPr>
              <w:spacing w:after="340" w:before="100"/>
              <w:jc w:val="center"/>
            </w:pPr>
            <w:r>
              <w:rPr>
                <w:rFonts w:ascii="Calibri" w:cs="Calibri" w:eastAsia="Calibri" w:hAnsi="Calibri"/>
                <w:b/>
                <w:bCs/>
                <w:color w:val="0D78D8"/>
                <w:sz w:val="18"/>
                <w:szCs w:val="18"/>
              </w:rPr>
              <w:t xml:space="preserve">TradeLaw Advisors by FAS   ·   www.tradelawadvisor.mx</w:t>
            </w:r>
          </w:p>
        </w:tc>
      </w:tr>
    </w:tbl>
    <w:sectPr>
      <w:headerReference w:type="default" r:id="rId11"/>
      <w:footerReference w:type="default" r:id="rId12"/>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EE7" w:sz="6" w:space="6"/>
      </w:pBdr>
      <w:tabs>
        <w:tab w:val="right" w:pos="7920"/>
      </w:tabs>
    </w:pPr>
    <w:r>
      <w:rPr>
        <w:rFonts w:ascii="Calibri" w:cs="Calibri" w:eastAsia="Calibri" w:hAnsi="Calibri"/>
        <w:color w:val="5B6472"/>
        <w:sz w:val="14"/>
        <w:szCs w:val="14"/>
      </w:rPr>
      <w:t xml:space="preserve">Documento de trabajo interno · Confidencial  —  TradeLaw Advisors by FAS</w:t>
    </w:r>
    <w:r>
      <w:rPr>
        <w:rFonts w:ascii="Calibri" w:cs="Calibri" w:eastAsia="Calibri" w:hAnsi="Calibri"/>
        <w:sz w:val="14"/>
        <w:szCs w:val="14"/>
      </w:rPr>
      <w:t xml:space="preserve">	</w:t>
    </w:r>
    <w:r>
      <w:rPr>
        <w:rFonts w:ascii="Calibri" w:cs="Calibri" w:eastAsia="Calibri" w:hAnsi="Calibri"/>
        <w:color w:val="5B6472"/>
        <w:sz w:val="14"/>
        <w:szCs w:val="14"/>
      </w:rPr>
      <w:t xml:space="preserve">Página </w:t>
    </w:r>
    <w:r>
      <w:rPr>
        <w:rFonts w:ascii="Calibri" w:cs="Calibri" w:eastAsia="Calibri" w:hAnsi="Calibri"/>
        <w:color w:val="5B6472"/>
        <w:sz w:val="14"/>
        <w:szCs w:val="14"/>
      </w:rPr>
      <w:fldChar w:fldCharType="begin"/>
      <w:instrText xml:space="preserve">PAGE</w:instrText>
      <w:fldChar w:fldCharType="separate"/>
      <w:fldChar w:fldCharType="end"/>
    </w:r>
    <w:r>
      <w:rPr>
        <w:rFonts w:ascii="Calibri" w:cs="Calibri" w:eastAsia="Calibri" w:hAnsi="Calibri"/>
        <w:color w:val="5B6472"/>
        <w:sz w:val="14"/>
        <w:szCs w:val="14"/>
      </w:rPr>
      <w:t xml:space="preserve"> de </w:t>
    </w:r>
    <w:r>
      <w:rPr>
        <w:rFonts w:ascii="Calibri" w:cs="Calibri" w:eastAsia="Calibri" w:hAnsi="Calibri"/>
        <w:color w:val="5B6472"/>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EE7" w:sz="6" w:space="6"/>
      </w:pBdr>
      <w:tabs>
        <w:tab w:val="right" w:pos="12960"/>
      </w:tabs>
    </w:pPr>
    <w:r>
      <w:rPr>
        <w:rFonts w:ascii="Calibri" w:cs="Calibri" w:eastAsia="Calibri" w:hAnsi="Calibri"/>
        <w:color w:val="5B6472"/>
        <w:sz w:val="14"/>
        <w:szCs w:val="14"/>
      </w:rPr>
      <w:t xml:space="preserve">Documento de trabajo interno · Confidencial  —  TradeLaw Advisors by FAS</w:t>
    </w:r>
    <w:r>
      <w:rPr>
        <w:rFonts w:ascii="Calibri" w:cs="Calibri" w:eastAsia="Calibri" w:hAnsi="Calibri"/>
        <w:sz w:val="14"/>
        <w:szCs w:val="14"/>
      </w:rPr>
      <w:t xml:space="preserve">	</w:t>
    </w:r>
    <w:r>
      <w:rPr>
        <w:rFonts w:ascii="Calibri" w:cs="Calibri" w:eastAsia="Calibri" w:hAnsi="Calibri"/>
        <w:color w:val="5B6472"/>
        <w:sz w:val="14"/>
        <w:szCs w:val="14"/>
      </w:rPr>
      <w:t xml:space="preserve">Página </w:t>
    </w:r>
    <w:r>
      <w:rPr>
        <w:rFonts w:ascii="Calibri" w:cs="Calibri" w:eastAsia="Calibri" w:hAnsi="Calibri"/>
        <w:color w:val="5B6472"/>
        <w:sz w:val="14"/>
        <w:szCs w:val="14"/>
      </w:rPr>
      <w:fldChar w:fldCharType="begin"/>
      <w:instrText xml:space="preserve">PAGE</w:instrText>
      <w:fldChar w:fldCharType="separate"/>
      <w:fldChar w:fldCharType="end"/>
    </w:r>
    <w:r>
      <w:rPr>
        <w:rFonts w:ascii="Calibri" w:cs="Calibri" w:eastAsia="Calibri" w:hAnsi="Calibri"/>
        <w:color w:val="5B6472"/>
        <w:sz w:val="14"/>
        <w:szCs w:val="14"/>
      </w:rPr>
      <w:t xml:space="preserve"> de </w:t>
    </w:r>
    <w:r>
      <w:rPr>
        <w:rFonts w:ascii="Calibri" w:cs="Calibri" w:eastAsia="Calibri" w:hAnsi="Calibri"/>
        <w:color w:val="5B6472"/>
        <w:sz w:val="14"/>
        <w:szCs w:val="14"/>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EE7" w:sz="6" w:space="6"/>
      </w:pBdr>
      <w:tabs>
        <w:tab w:val="right" w:pos="7920"/>
      </w:tabs>
    </w:pPr>
    <w:r>
      <w:rPr>
        <w:rFonts w:ascii="Calibri" w:cs="Calibri" w:eastAsia="Calibri" w:hAnsi="Calibri"/>
        <w:color w:val="5B6472"/>
        <w:sz w:val="14"/>
        <w:szCs w:val="14"/>
      </w:rPr>
      <w:t xml:space="preserve">Documento de trabajo interno · Confidencial  —  TradeLaw Advisors by FAS</w:t>
    </w:r>
    <w:r>
      <w:rPr>
        <w:rFonts w:ascii="Calibri" w:cs="Calibri" w:eastAsia="Calibri" w:hAnsi="Calibri"/>
        <w:sz w:val="14"/>
        <w:szCs w:val="14"/>
      </w:rPr>
      <w:t xml:space="preserve">	</w:t>
    </w:r>
    <w:r>
      <w:rPr>
        <w:rFonts w:ascii="Calibri" w:cs="Calibri" w:eastAsia="Calibri" w:hAnsi="Calibri"/>
        <w:color w:val="5B6472"/>
        <w:sz w:val="14"/>
        <w:szCs w:val="14"/>
      </w:rPr>
      <w:t xml:space="preserve">Página </w:t>
    </w:r>
    <w:r>
      <w:rPr>
        <w:rFonts w:ascii="Calibri" w:cs="Calibri" w:eastAsia="Calibri" w:hAnsi="Calibri"/>
        <w:color w:val="5B6472"/>
        <w:sz w:val="14"/>
        <w:szCs w:val="14"/>
      </w:rPr>
      <w:fldChar w:fldCharType="begin"/>
      <w:instrText xml:space="preserve">PAGE</w:instrText>
      <w:fldChar w:fldCharType="separate"/>
      <w:fldChar w:fldCharType="end"/>
    </w:r>
    <w:r>
      <w:rPr>
        <w:rFonts w:ascii="Calibri" w:cs="Calibri" w:eastAsia="Calibri" w:hAnsi="Calibri"/>
        <w:color w:val="5B6472"/>
        <w:sz w:val="14"/>
        <w:szCs w:val="14"/>
      </w:rPr>
      <w:t xml:space="preserve"> de </w:t>
    </w:r>
    <w:r>
      <w:rPr>
        <w:rFonts w:ascii="Calibri" w:cs="Calibri" w:eastAsia="Calibri" w:hAnsi="Calibri"/>
        <w:color w:val="5B6472"/>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84"/>
      <w:gridCol w:w="3276"/>
    </w:tblGrid>
    <w:tr>
      <w:trPr>
        <w:trHeight w:val="420" w:hRule="atLeast"/>
      </w:trPr>
      <w:tc>
        <w:tcPr>
          <w:tcW w:type="dxa" w:w="6084"/>
          <w:tcBorders>
            <w:top w:val="none" w:color="FFFFFF" w:sz="0"/>
            <w:left w:val="none" w:color="FFFFFF" w:sz="0"/>
            <w:bottom w:val="none" w:color="FFFFFF" w:sz="0"/>
            <w:right w:val="none" w:color="FFFFFF" w:sz="0"/>
          </w:tcBorders>
          <w:shd w:fill="03286C" w:color="auto" w:val="clear"/>
          <w:tcMar>
            <w:top w:type="dxa" w:w="60"/>
            <w:left w:type="dxa" w:w="200"/>
            <w:bottom w:type="dxa" w:w="60"/>
            <w:right w:type="dxa" w:w="0"/>
          </w:tcMar>
          <w:vAlign w:val="center"/>
        </w:tcPr>
        <w:p>
          <w:r>
            <w:rPr>
              <w:rFonts w:ascii="Cambria" w:cs="Cambria" w:eastAsia="Cambria" w:hAnsi="Cambria"/>
              <w:b/>
              <w:bCs/>
              <w:color w:val="0D78D8"/>
              <w:sz w:val="16"/>
              <w:szCs w:val="16"/>
            </w:rPr>
            <w:t xml:space="preserve">TA</w:t>
          </w:r>
          <w:r>
            <w:rPr>
              <w:rFonts w:ascii="Cambria" w:cs="Cambria" w:eastAsia="Cambria" w:hAnsi="Cambria"/>
              <w:b/>
              <w:bCs/>
              <w:color w:val="FFFFFF"/>
              <w:spacing w:val="8"/>
              <w:sz w:val="15"/>
              <w:szCs w:val="15"/>
            </w:rPr>
            <w:t xml:space="preserve">  TRADELAW ADVISORS </w:t>
          </w:r>
          <w:r>
            <w:rPr>
              <w:rFonts w:ascii="Calibri" w:cs="Calibri" w:eastAsia="Calibri" w:hAnsi="Calibri"/>
              <w:i/>
              <w:iCs/>
              <w:color w:val="FFFFFF"/>
              <w:sz w:val="14"/>
              <w:szCs w:val="14"/>
            </w:rPr>
            <w:t xml:space="preserve">by FAS</w:t>
          </w:r>
        </w:p>
      </w:tc>
      <w:tc>
        <w:tcPr>
          <w:tcW w:type="dxa" w:w="3276"/>
          <w:tcBorders>
            <w:top w:val="none" w:color="FFFFFF" w:sz="0"/>
            <w:left w:val="none" w:color="FFFFFF" w:sz="0"/>
            <w:bottom w:val="none" w:color="FFFFFF" w:sz="0"/>
            <w:right w:val="none" w:color="FFFFFF" w:sz="0"/>
          </w:tcBorders>
          <w:shd w:fill="03286C" w:color="auto" w:val="clear"/>
          <w:tcMar>
            <w:top w:type="dxa" w:w="60"/>
            <w:left w:type="dxa" w:w="0"/>
            <w:bottom w:type="dxa" w:w="60"/>
            <w:right w:type="dxa" w:w="200"/>
          </w:tcMar>
          <w:vAlign w:val="center"/>
        </w:tcPr>
        <w:p>
          <w:pPr>
            <w:jc w:val="right"/>
          </w:pPr>
          <w:r>
            <w:rPr>
              <w:rFonts w:ascii="Calibri" w:cs="Calibri" w:eastAsia="Calibri" w:hAnsi="Calibri"/>
              <w:color w:val="0D78D8"/>
              <w:spacing w:val="4"/>
              <w:sz w:val="14"/>
              <w:szCs w:val="14"/>
            </w:rPr>
            <w:t xml:space="preserve">MATRIZ DE RAZÓN DE NEGOCIOS · V1</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9360"/>
      <w:gridCol w:w="5040"/>
    </w:tblGrid>
    <w:tr>
      <w:trPr>
        <w:trHeight w:val="420" w:hRule="atLeast"/>
      </w:trPr>
      <w:tc>
        <w:tcPr>
          <w:tcW w:type="dxa" w:w="9360"/>
          <w:tcBorders>
            <w:top w:val="none" w:color="FFFFFF" w:sz="0"/>
            <w:left w:val="none" w:color="FFFFFF" w:sz="0"/>
            <w:bottom w:val="none" w:color="FFFFFF" w:sz="0"/>
            <w:right w:val="none" w:color="FFFFFF" w:sz="0"/>
          </w:tcBorders>
          <w:shd w:fill="03286C" w:color="auto" w:val="clear"/>
          <w:tcMar>
            <w:top w:type="dxa" w:w="60"/>
            <w:left w:type="dxa" w:w="200"/>
            <w:bottom w:type="dxa" w:w="60"/>
            <w:right w:type="dxa" w:w="0"/>
          </w:tcMar>
          <w:vAlign w:val="center"/>
        </w:tcPr>
        <w:p>
          <w:r>
            <w:rPr>
              <w:rFonts w:ascii="Cambria" w:cs="Cambria" w:eastAsia="Cambria" w:hAnsi="Cambria"/>
              <w:b/>
              <w:bCs/>
              <w:color w:val="0D78D8"/>
              <w:sz w:val="16"/>
              <w:szCs w:val="16"/>
            </w:rPr>
            <w:t xml:space="preserve">TA</w:t>
          </w:r>
          <w:r>
            <w:rPr>
              <w:rFonts w:ascii="Cambria" w:cs="Cambria" w:eastAsia="Cambria" w:hAnsi="Cambria"/>
              <w:b/>
              <w:bCs/>
              <w:color w:val="FFFFFF"/>
              <w:spacing w:val="8"/>
              <w:sz w:val="15"/>
              <w:szCs w:val="15"/>
            </w:rPr>
            <w:t xml:space="preserve">  TRADELAW ADVISORS </w:t>
          </w:r>
          <w:r>
            <w:rPr>
              <w:rFonts w:ascii="Calibri" w:cs="Calibri" w:eastAsia="Calibri" w:hAnsi="Calibri"/>
              <w:i/>
              <w:iCs/>
              <w:color w:val="FFFFFF"/>
              <w:sz w:val="14"/>
              <w:szCs w:val="14"/>
            </w:rPr>
            <w:t xml:space="preserve">by FAS</w:t>
          </w:r>
        </w:p>
      </w:tc>
      <w:tc>
        <w:tcPr>
          <w:tcW w:type="dxa" w:w="5040"/>
          <w:tcBorders>
            <w:top w:val="none" w:color="FFFFFF" w:sz="0"/>
            <w:left w:val="none" w:color="FFFFFF" w:sz="0"/>
            <w:bottom w:val="none" w:color="FFFFFF" w:sz="0"/>
            <w:right w:val="none" w:color="FFFFFF" w:sz="0"/>
          </w:tcBorders>
          <w:shd w:fill="03286C" w:color="auto" w:val="clear"/>
          <w:tcMar>
            <w:top w:type="dxa" w:w="60"/>
            <w:left w:type="dxa" w:w="0"/>
            <w:bottom w:type="dxa" w:w="60"/>
            <w:right w:type="dxa" w:w="200"/>
          </w:tcMar>
          <w:vAlign w:val="center"/>
        </w:tcPr>
        <w:p>
          <w:pPr>
            <w:jc w:val="right"/>
          </w:pPr>
          <w:r>
            <w:rPr>
              <w:rFonts w:ascii="Calibri" w:cs="Calibri" w:eastAsia="Calibri" w:hAnsi="Calibri"/>
              <w:color w:val="0D78D8"/>
              <w:spacing w:val="4"/>
              <w:sz w:val="14"/>
              <w:szCs w:val="14"/>
            </w:rPr>
            <w:t xml:space="preserve">MATRIZ DE RAZÓN DE NEGOCIOS · V1</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84"/>
      <w:gridCol w:w="3276"/>
    </w:tblGrid>
    <w:tr>
      <w:trPr>
        <w:trHeight w:val="420" w:hRule="atLeast"/>
      </w:trPr>
      <w:tc>
        <w:tcPr>
          <w:tcW w:type="dxa" w:w="6084"/>
          <w:tcBorders>
            <w:top w:val="none" w:color="FFFFFF" w:sz="0"/>
            <w:left w:val="none" w:color="FFFFFF" w:sz="0"/>
            <w:bottom w:val="none" w:color="FFFFFF" w:sz="0"/>
            <w:right w:val="none" w:color="FFFFFF" w:sz="0"/>
          </w:tcBorders>
          <w:shd w:fill="03286C" w:color="auto" w:val="clear"/>
          <w:tcMar>
            <w:top w:type="dxa" w:w="60"/>
            <w:left w:type="dxa" w:w="200"/>
            <w:bottom w:type="dxa" w:w="60"/>
            <w:right w:type="dxa" w:w="0"/>
          </w:tcMar>
          <w:vAlign w:val="center"/>
        </w:tcPr>
        <w:p>
          <w:r>
            <w:rPr>
              <w:rFonts w:ascii="Cambria" w:cs="Cambria" w:eastAsia="Cambria" w:hAnsi="Cambria"/>
              <w:b/>
              <w:bCs/>
              <w:color w:val="0D78D8"/>
              <w:sz w:val="16"/>
              <w:szCs w:val="16"/>
            </w:rPr>
            <w:t xml:space="preserve">TA</w:t>
          </w:r>
          <w:r>
            <w:rPr>
              <w:rFonts w:ascii="Cambria" w:cs="Cambria" w:eastAsia="Cambria" w:hAnsi="Cambria"/>
              <w:b/>
              <w:bCs/>
              <w:color w:val="FFFFFF"/>
              <w:spacing w:val="8"/>
              <w:sz w:val="15"/>
              <w:szCs w:val="15"/>
            </w:rPr>
            <w:t xml:space="preserve">  TRADELAW ADVISORS </w:t>
          </w:r>
          <w:r>
            <w:rPr>
              <w:rFonts w:ascii="Calibri" w:cs="Calibri" w:eastAsia="Calibri" w:hAnsi="Calibri"/>
              <w:i/>
              <w:iCs/>
              <w:color w:val="FFFFFF"/>
              <w:sz w:val="14"/>
              <w:szCs w:val="14"/>
            </w:rPr>
            <w:t xml:space="preserve">by FAS</w:t>
          </w:r>
        </w:p>
      </w:tc>
      <w:tc>
        <w:tcPr>
          <w:tcW w:type="dxa" w:w="3276"/>
          <w:tcBorders>
            <w:top w:val="none" w:color="FFFFFF" w:sz="0"/>
            <w:left w:val="none" w:color="FFFFFF" w:sz="0"/>
            <w:bottom w:val="none" w:color="FFFFFF" w:sz="0"/>
            <w:right w:val="none" w:color="FFFFFF" w:sz="0"/>
          </w:tcBorders>
          <w:shd w:fill="03286C" w:color="auto" w:val="clear"/>
          <w:tcMar>
            <w:top w:type="dxa" w:w="60"/>
            <w:left w:type="dxa" w:w="0"/>
            <w:bottom w:type="dxa" w:w="60"/>
            <w:right w:type="dxa" w:w="200"/>
          </w:tcMar>
          <w:vAlign w:val="center"/>
        </w:tcPr>
        <w:p>
          <w:pPr>
            <w:jc w:val="right"/>
          </w:pPr>
          <w:r>
            <w:rPr>
              <w:rFonts w:ascii="Calibri" w:cs="Calibri" w:eastAsia="Calibri" w:hAnsi="Calibri"/>
              <w:color w:val="0D78D8"/>
              <w:spacing w:val="4"/>
              <w:sz w:val="14"/>
              <w:szCs w:val="14"/>
            </w:rPr>
            <w:t xml:space="preserve">MATRIZ DE RAZÓN DE NEGOCIOS · V1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1F2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Matriz Básica de Revisión de Operaciones Virtuales V1</dc:title>
  <dc:creator>TradeLaw Advisors by FAS</dc:creator>
  <dc:description>Evaluación ejecutiva de razón de negocios, beneficio económico, beneficio fiscal y sustancia económica</dc:description>
  <cp:lastModifiedBy>Un-named</cp:lastModifiedBy>
  <cp:revision>1</cp:revision>
  <dcterms:created xsi:type="dcterms:W3CDTF">2026-09-07T12:09:17.074Z</dcterms:created>
  <dcterms:modified xsi:type="dcterms:W3CDTF">2026-09-07T12:09:17.075Z</dcterms:modified>
</cp:coreProperties>
</file>

<file path=docProps/custom.xml><?xml version="1.0" encoding="utf-8"?>
<Properties xmlns="http://schemas.openxmlformats.org/officeDocument/2006/custom-properties" xmlns:vt="http://schemas.openxmlformats.org/officeDocument/2006/docPropsVTypes"/>
</file>